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Batas Tanggung Jawab Hukum Guru Pegawai Negeri Sipil dalam Tata Kelola Dana Sekolah</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Meldam Rosliani Makaba</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meldam@ukipaulus.ac.id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civil servant teacher, state civil apparatus, legal responsibility, school operational funds, education governance, accountability</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guru pegawai negeri sipil, aparatur sipil negara, tanggung jawab hukum, dana sekolah, tata kelola pendidikan, akuntabilitas</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Teachers holding civil servant status occupy a legal position that is not singular, and this becomes consequential when they are assigned to manage school operational funds. This study examines their legal position as state civil apparatus in realising good education governance and identifies the limits of their legal responsibility in implementing transparency and accountability. The research is normative legal research employing statutory, conceptual, and case approaches, analysed descriptively and qualitatively. The findings show that the position is plural, comprising a public service relationship, functional office, professional status, public service provider, and user of public resources, while authority over finances never attaches automatically to the teaching profession but arises from a lawful written assignment. The study argues that responsibility must be measured by actual role, knowledge, contribution, and benefit received rather than by membership of a team or the presence of a signature, and that a role-based matrix already finds normative footing in the administrative law distinction between administrative error and abuse of authority.</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Guru berstatus pegawai negeri sipil menempati kedudukan hukum yang tidak tunggal, dan hal itu menjadi menentukan ketika ia memperoleh penugasan mengelola dana operasional sekolah. Penelitian ini mengkaji kedudukan hukum guru pegawai negeri sipil sebagai aparatur sipil negara dalam mewujudkan tata kelola pendidikan yang baik serta mengidentifikasi batas tanggung jawab hukumnya dalam pelaksanaan prinsip transparansi dan akuntabilitas. Penelitian ini merupakan penelitian hukum normatif dengan pendekatan peraturan perundang-undangan, konseptual, dan kasus, yang dianalisis secara deskriptif kualitatif. Hasil penelitian menunjukkan kedudukan tersebut bersifat majemuk, meliputi subjek hubungan dinas publik, pejabat fungsional, tenaga profesional, pelayan publik, dan pengguna sumber daya publik, sementara kewenangan keuangan tidak pernah melekat otomatis pada profesi guru melainkan lahir dari penugasan tertulis yang sah. Penelitian ini berargumentasi bahwa tanggung jawab harus diukur dari peran nyata, pengetahuan, kontribusi, dan manfaat yang diterima, bukan dari keanggotaan tim atau keberadaan tanda tangan, dan bahwa matriks berbasis peran telah memiliki pijakan normatif dalam pembedaan antara kesalahan administratif dan penyalahgunaan wewenang.</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Pendidikan merupakan urusan pemerintahan wajib yang berkaitan dengan pelayanan dasar, sehingga penyelenggaraannya menuntut tata kelola yang memenuhi asas-asas umum pemerintahan yang baik. Guru berstatus pegawai negeri sipil menempati posisi sentral dalam penyelenggaraan itu, sebab ia sekaligus merupakan pelaksana kebijakan pendidikan dan pelayan publik yang berhadapan langsung dengan peserta didik. Kedudukan tersebut menempatkan guru dalam hubungan dinas publik yang isi pokoknya ditentukan oleh peraturan perundang-undangan, bukan oleh kesepakatan individual (Ridwan HR, 2016).</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muncul ketika guru memperoleh penugasan tambahan di luar tugas keprofesiannya. Pengelolaan dana operasional sekolah menuntut kemampuan administrasi dan keuangan yang berbeda dari kemampuan mendidik, sementara penugasan itu kerap diberikan berdasarkan ketersediaan orang dan bukan berdasarkan kompetensi. Akibatnya, guru dapat berada dalam posisi memikul kewajiban hukum yang tidak sepenuhnya dipahaminya, padahal kesalahan dalam pengelolaan keuangan negara membawa akibat hukum yang berat.</w:t>
      </w:r>
    </w:p>
    <w:p>
      <w:pPr>
        <w:pStyle w:val="IEEEParagraph"/>
        <w:ind w:left="567" w:right="322" w:firstLine="567"/>
        <w:rPr>
          <w:rFonts w:ascii="Segoe UI" w:hAnsi="Segoe UI" w:cs="Segoe UI"/>
          <w:sz w:val="22"/>
          <w:szCs w:val="22"/>
        </w:rPr>
      </w:pPr>
      <w:r>
        <w:rPr>
          <w:rFonts w:ascii="Segoe UI" w:hAnsi="Segoe UI" w:cs="Segoe UI"/>
          <w:sz w:val="22"/>
          <w:szCs w:val="22"/>
        </w:rPr>
        <w:t xml:space="preserve">Kesulitan itu diperberat oleh banyaknya lapisan pengaturan yang harus dipatuhi sekaligus. Pengelolaan dana sekolah tunduk pada ketentuan aparatur sipil negara, ketentuan keuangan negara, ketentuan pengadaan, dan petunjuk teknis yang kerap berubah setiap tahun anggaran. Suatu norma baru dapat memberikan kepastian apabila rumusannya jelas, dapat diketahui lebih dahulu, dan tidak saling bertentangan dengan norma lain dalam satu sistem (Asshiddiqie, 2010). Ketika syarat itu tidak terpenuhi, beban penafsiran berpindah kepada pelaksana di lapangan, yaitu guru yang sesungguhnya tidak dididik untuk menafsirkan norma keuangan negara.</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berikutnya menyangkut jalur penyelesaian. Tidak setiap penyimpangan dalam pengelolaan dana sekolah harus bermuara pada proses pidana, sebab hukum administrasi menyediakan mekanisme tersendiri berupa upaya administratif dan pemulihan kerugian yang seharusnya ditempuh lebih dahulu terhadap kesalahan yang bersifat administratif (Marbun, 2011). Kekeliruan memilih jalur penyelesaian tidak hanya merugikan pegawai yang bersangkutan, tetapi juga menggeser fokus penegakan hukum dari pemulihan keuangan negara menuju penghukuman semata.</w:t>
      </w:r>
    </w:p>
    <w:p>
      <w:pPr>
        <w:pStyle w:val="IEEEParagraph"/>
        <w:ind w:left="567" w:right="322" w:firstLine="567"/>
        <w:rPr>
          <w:rFonts w:ascii="Segoe UI" w:hAnsi="Segoe UI" w:cs="Segoe UI"/>
          <w:sz w:val="22"/>
          <w:szCs w:val="22"/>
        </w:rPr>
      </w:pPr>
      <w:r>
        <w:rPr>
          <w:rFonts w:ascii="Segoe UI" w:hAnsi="Segoe UI" w:cs="Segoe UI"/>
          <w:sz w:val="22"/>
          <w:szCs w:val="22"/>
        </w:rPr>
        <w:t xml:space="preserve">Rangkaian perkara di berbagai daerah memperlihatkan bahwa risiko tersebut bukan sekadar kemungkinan teoretis. Kepala sekolah, bendahara, dan anggota tim pengelola dana sekolah berulang kali menjadi terdakwa dalam perkara tindak pidana korupsi yang berkaitan dengan belanja sekolah. Pada sisi lain terdapat pula kekhawatiran sebaliknya, yaitu terseretnya guru yang namanya tercantum dalam surat keputusan tim tanpa pernah menjalankan tugas nyata dan tanpa memperoleh manfaat apa pun dari penyimpangan yang terjadi.</w:t>
      </w:r>
    </w:p>
    <w:p>
      <w:pPr>
        <w:pStyle w:val="IEEEParagraph"/>
        <w:ind w:left="567" w:right="322" w:firstLine="567"/>
        <w:rPr>
          <w:rFonts w:ascii="Segoe UI" w:hAnsi="Segoe UI" w:cs="Segoe UI"/>
          <w:sz w:val="22"/>
          <w:szCs w:val="22"/>
        </w:rPr>
      </w:pPr>
      <w:r>
        <w:rPr>
          <w:rFonts w:ascii="Segoe UI" w:hAnsi="Segoe UI" w:cs="Segoe UI"/>
          <w:sz w:val="22"/>
          <w:szCs w:val="22"/>
        </w:rPr>
        <w:t xml:space="preserve">Di sinilah letak persoalan hukum yang menuntut penelitian. Pada lapis pertama terdapat pertanyaan mengenai kedudukan hukum guru pegawai negeri sipil itu sendiri, yaitu apakah kedudukan tersebut tunggal atau majemuk, dan dari mana sesungguhnya kewenangan mengelola keuangan sekolah bersumber. Pada lapis kedua terdapat pertanyaan mengenai batas tanggung jawab hukumnya, yaitu sampai di mana seorang guru dapat dimintai pertanggungjawaban administratif, keperdataan, maupun pidana atas penyimpangan yang terjadi dalam pengelolaan dana sekolah.</w:t>
      </w:r>
    </w:p>
    <w:p>
      <w:pPr>
        <w:pStyle w:val="IEEEParagraph"/>
        <w:ind w:left="567" w:right="322" w:firstLine="567"/>
        <w:rPr>
          <w:rFonts w:ascii="Segoe UI" w:hAnsi="Segoe UI" w:cs="Segoe UI"/>
          <w:sz w:val="22"/>
          <w:szCs w:val="22"/>
        </w:rPr>
      </w:pPr>
      <w:r>
        <w:rPr>
          <w:rFonts w:ascii="Segoe UI" w:hAnsi="Segoe UI" w:cs="Segoe UI"/>
          <w:sz w:val="22"/>
          <w:szCs w:val="22"/>
        </w:rPr>
        <w:t xml:space="preserve">Pertanyaan kedua menjadi lebih mendesak sesudah berlakunya kodifikasi pidana nasional pada 2 Januari 2026. Undang-Undang Nomor 1 Tahun 2026 tentang Penyesuaian Pidana menghapus ancaman pidana minimum khusus dalam undang-undang di luar Kitab Undang-Undang Hukum Pidana, tetapi secara tegas mengecualikan tindak pidana korupsi dari penghapusan tersebut. Artinya, ancaman minimum khusus dalam perkara korupsi tetap dipertahankan, sehingga kekeliruan menempatkan seorang guru sebagai pihak yang bertanggung jawab membawa akibat yang tidak ringan.</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kedudukan aparatur sipil negara dan pertanggungjawaban keuangan negara telah berkembang cukup lama. Ridwan HR (2016) dan Hadjon dkk. (2011) meletakkan kerangka mengenai sumber kewenangan dan tanggung jawab jabatan, sedangkan Chazawi (2016) serta Hamzah (2007) menelaah konstruksi tindak pidana korupsi beserta unsur kerugian keuangan negara. Kajian-kajian tersebut berjasa membangun landasan konseptual, tetapi umumnya membahas aparatur secara umum dan belum menelusuri secara khusus posisi guru yang memperoleh penugasan keuangan di luar tugas keprofesiannya.</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penelitian ini menyusun pemetaan kedudukan hukum guru pegawai negeri sipil secara berlapis dan menautkannya dengan matriks tanggung jawab berbasis peran, sehingga penilaian atas pertanggungjawaban tidak berhenti pada jabatan formal. Penelitian ini juga menunjukkan bahwa matriks tersebut bukan sekadar alat analisis akademik, melainkan memiliki pijakan normatif pada pembedaan antara kesalahan administratif dan penyalahgunaan wewenang dalam hukum administrasi pemerintahan.</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mengetahui dan menganalisis kedudukan hukum guru pegawai negeri sipil sebagai aparatur sipil negara dalam mewujudkan tata kelola pendidikan yang baik; kedua, mengetahui dan menganalisis batas tanggung jawab hukumnya dalam pelaksanaan prinsip transparansi dan akuntabilitas di lingkungan sekolah. Secara teoretis, penelitian ini berkontribusi pada kajian hukum administrasi negara dengan mempertegas hubungan antara sumber kewenangan dan lingkup pertanggungjawaban. Secara praktis, hasilnya dapat menjadi rujukan bagi aparat pengawasan dan penegak hukum dalam menilai kontribusi individual, sekaligus bagi sekolah dalam menata pengendalian internal.</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tipe dan pendekatan penelitian, sumber bahan hukum, teknik pengumpulan bahan hukum, teknik analisis, serta batasan penelitian.</w:t>
      </w:r>
    </w:p>
    <w:p>
      <w:pPr>
        <w:pStyle w:val="IEEEParagraph"/>
        <w:ind w:left="567" w:right="322"/>
      </w:pPr>
    </w:p>
    <w:p>
      <w:pPr>
        <w:pStyle w:val="Heading2"/>
        <w:ind w:right="322"/>
        <w:rPr>
          <w:rStyle w:val="mediumtext"/>
        </w:rPr>
      </w:pPr>
      <w:r>
        <w:rPr>
          <w:rStyle w:val="mediumtext"/>
        </w:rPr>
        <w:t xml:space="preserve">2.1 Tipe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menggunakan tipe penelitian hukum normatif (</w:t>
      </w:r>
      <w:r>
        <w:rPr>
          <w:rFonts w:ascii="Segoe UI" w:hAnsi="Segoe UI" w:cs="Segoe UI"/>
          <w:sz w:val="22"/>
          <w:szCs w:val="22"/>
          <w:i/>
          <w:iCs/>
        </w:rPr>
        <w:t xml:space="preserve">doctrinal research</w:t>
      </w:r>
      <w:r>
        <w:rPr>
          <w:rFonts w:ascii="Segoe UI" w:hAnsi="Segoe UI" w:cs="Segoe UI"/>
          <w:sz w:val="22"/>
          <w:szCs w:val="22"/>
        </w:rPr>
        <w:t xml:space="preserve">), yaitu penelitian yang meletakkan hukum sebagai sistem norma yang meliputi asas, kaidah, peraturan perundang-undangan, putusan pengadilan, serta doktrin (Soekanto &amp; Mamudji, 2015). Fokus utamanya adalah mengkaji kekosongan norma, kaburnya norma, atau konflik norma yang berkaitan dengan kedudukan yuridis dan batas tanggung jawab guru pegawai negeri sipil. Penelitian ini tidak melakukan pengumpulan data sosial secara empiris di lapangan, melainkan berfokus pada analisis teks hukum tertulis (Ibrahim, 2013).</w:t>
      </w:r>
    </w:p>
    <w:p>
      <w:pPr>
        <w:pStyle w:val="IEEEParagraph"/>
        <w:ind w:left="567" w:right="322" w:firstLine="567"/>
        <w:rPr>
          <w:rFonts w:ascii="Segoe UI" w:hAnsi="Segoe UI" w:cs="Segoe UI"/>
          <w:sz w:val="22"/>
          <w:szCs w:val="22"/>
        </w:rPr>
      </w:pPr>
      <w:r>
        <w:rPr>
          <w:rFonts w:ascii="Segoe UI" w:hAnsi="Segoe UI" w:cs="Segoe UI"/>
          <w:sz w:val="22"/>
          <w:szCs w:val="22"/>
        </w:rPr>
        <w:t xml:space="preserve">Tiga pendekatan digunakan secara berlapis.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ditempuh dengan menelaah konsistensi normatif, hierarki, dan keterikatan regulasi antara undang-undang aparatur sipil negara, undang-undang guru dan dosen, ketentuan disiplin pegawai negeri sipil, hukum administrasi pemerintahan, sampai peraturan teknis mengenai pengelolaan anggaran sekolah (Marzuki, 2016).</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Pendekatan konseptual (</w:t>
      </w:r>
      <w:r>
        <w:rPr>
          <w:rFonts w:ascii="Segoe UI" w:hAnsi="Segoe UI" w:cs="Segoe UI"/>
          <w:sz w:val="22"/>
          <w:szCs w:val="22"/>
          <w:i/>
          <w:iCs/>
        </w:rPr>
        <w:t xml:space="preserve">conceptual approach</w:t>
      </w:r>
      <w:r>
        <w:rPr>
          <w:rFonts w:ascii="Segoe UI" w:hAnsi="Segoe UI" w:cs="Segoe UI"/>
          <w:sz w:val="22"/>
          <w:szCs w:val="22"/>
        </w:rPr>
        <w:t xml:space="preserve">) ditempuh dengan membedah konsep akuntabilitas, transparansi, hubungan dinas publik, dan tanggung jawab jabatan guna menemukan batas ideal pertanggungjawaban. Adapun pendekatan kasus (</w:t>
      </w:r>
      <w:r>
        <w:rPr>
          <w:rFonts w:ascii="Segoe UI" w:hAnsi="Segoe UI" w:cs="Segoe UI"/>
          <w:sz w:val="22"/>
          <w:szCs w:val="22"/>
          <w:i/>
          <w:iCs/>
        </w:rPr>
        <w:t xml:space="preserve">case approach</w:t>
      </w:r>
      <w:r>
        <w:rPr>
          <w:rFonts w:ascii="Segoe UI" w:hAnsi="Segoe UI" w:cs="Segoe UI"/>
          <w:sz w:val="22"/>
          <w:szCs w:val="22"/>
        </w:rPr>
        <w:t xml:space="preserve">) ditempuh dengan menelaah perkara yang telah berkekuatan hukum tetap serta laporan resmi lembaga negara, guna melihat bagaimana norma tersebut diterapkan dalam pertimbangan hukum hakim maupun otoritas yang berwenang.</w:t>
      </w:r>
    </w:p>
    <w:p>
      <w:pPr>
        <w:pStyle w:val="IEEEParagraph"/>
        <w:ind w:left="567" w:right="322"/>
      </w:pPr>
    </w:p>
    <w:p>
      <w:pPr>
        <w:pStyle w:val="Heading2"/>
        <w:ind w:right="322"/>
        <w:rPr>
          <w:rStyle w:val="mediumtext"/>
        </w:rPr>
      </w:pPr>
      <w:r>
        <w:rPr>
          <w:rStyle w:val="mediumtext"/>
        </w:rPr>
        <w:t xml:space="preserve">2.2 Sumber Bahan Hukum</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meliputi Undang-Undang Dasar Negara Republik Indonesia Tahun 1945, Undang-Undang Nomor 20 Tahun 2003 tentang Sistem Pendidikan Nasional, Undang-Undang Nomor 14 Tahun 2005 tentang Guru dan Dosen, Undang-Undang Nomor 25 Tahun 2009 tentang Pelayanan Publik, Undang-Undang Nomor 30 Tahun 2014 tentang Administrasi Pemerintahan, Undang-Undang Nomor 31 Tahun 1999 sebagaimana diubah dengan Undang-Undang Nomor 20 Tahun 2001, Undang-Undang Nomor 20 Tahun 2023 tentang Aparatur Sipil Negara, Undang-Undang Nomor 1 Tahun 2023 tentang Kitab Undang-Undang Hukum Pidana, Undang-Undang Nomor 1 Tahun 2026 tentang Penyesuaian Pidana, Peraturan Pemerintah Nomor 94 Tahun 2021 tentang Disiplin Pegawai Negeri Sipil, serta petunjuk teknis pengelolaan dana bantuan operasional satuan pendidikan.</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juga mencakup putusan pengadilan yang berkaitan dengan pengelolaan dana sekolah, yaitu putusan-putusan Mahkamah Agung dan pengadilan tinggi yang dipakai sebagai putusan pembanding. Bahan hukum sekunder berupa buku hukum administrasi negara, hukum pidana korupsi, artikel jurnal, serta laporan resmi lembaga negara di bidang pengawasan dan pemberantasan korupsi. Bahan hukum tersier berupa kamus hukum dan ensiklopedia.</w:t>
      </w:r>
    </w:p>
    <w:p>
      <w:pPr>
        <w:pStyle w:val="IEEEParagraph"/>
        <w:ind w:left="567" w:right="322"/>
      </w:pPr>
    </w:p>
    <w:p>
      <w:pPr>
        <w:pStyle w:val="Heading2"/>
        <w:ind w:right="322"/>
        <w:rPr>
          <w:rStyle w:val="mediumtext"/>
        </w:rPr>
      </w:pPr>
      <w:r>
        <w:rPr>
          <w:rStyle w:val="mediumtext"/>
        </w:rPr>
        <w:t xml:space="preserve">2.3 Teknik Pengumpulan Bahan Hukum</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Pengumpulan bahan hukum ditempuh melalui studi dokumen, yaitu penelusuran dan penelaahan peraturan perundang-undangan, putusan pengadilan, laporan resmi lembaga negara, serta literatur hukum yang berkaitan dengan objek penelitian. Bahan yang terkumpul kemudian diinventarisasi dan diklasifikasikan menurut relevansinya dengan masing-masing rumusan masalah.</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dalam rentang penelitian, penelusuran diarahkan pada teks undang-undang beserta ketentuan peralihannya, bukan pada tulisan populer, agar setiap pernyataan mengenai keberlakuan norma dapat diverifikasi sumbernya. Perkara yang belum berkekuatan hukum tetap diperlakukan sebagai gambaran pola persoalan dan tidak dipakai sebagai dasar penilaian atas kesalahan pihak tertentu.</w:t>
      </w:r>
    </w:p>
    <w:p>
      <w:pPr>
        <w:pStyle w:val="IEEEParagraph"/>
        <w:ind w:left="567" w:right="322"/>
      </w:pPr>
    </w:p>
    <w:p>
      <w:pPr>
        <w:pStyle w:val="Heading2"/>
        <w:ind w:right="322"/>
        <w:rPr>
          <w:rStyle w:val="mediumtext"/>
        </w:rPr>
      </w:pPr>
      <w:r>
        <w:rPr>
          <w:rStyle w:val="mediumtext"/>
        </w:rPr>
        <w:t xml:space="preserve">2.4 Teknik Analisis Bahan Hukum</w:t>
      </w:r>
    </w:p>
    <w:p>
      <w:pPr>
        <w:pStyle w:val="IEEEParagraph"/>
        <w:ind w:left="567" w:right="322" w:firstLine="567"/>
        <w:rPr>
          <w:rFonts w:ascii="Segoe UI" w:hAnsi="Segoe UI" w:cs="Segoe UI"/>
          <w:sz w:val="22"/>
          <w:szCs w:val="22"/>
        </w:rPr>
      </w:pPr>
      <w:r>
        <w:rPr>
          <w:rFonts w:ascii="Segoe UI" w:hAnsi="Segoe UI" w:cs="Segoe UI"/>
          <w:sz w:val="22"/>
          <w:szCs w:val="22"/>
        </w:rPr>
        <w:t xml:space="preserve">Analisis dilakukan secara kualitatif dan diuraikan secara deskriptif melalui alur berjenjang, yaitu identifikasi norma yang mengatur kedudukan dan kewajiban guru pegawai negeri sipil, penelusuran sumber kewenangan pada tiap penugasan, pengujian kesesuaian antara kewenangan dan tanggung jawab, serta perumusan argumentasi penulis.</w:t>
      </w:r>
    </w:p>
    <w:p>
      <w:pPr>
        <w:pStyle w:val="IEEEParagraph"/>
        <w:ind w:left="567" w:right="322" w:firstLine="567"/>
        <w:rPr>
          <w:rFonts w:ascii="Segoe UI" w:hAnsi="Segoe UI" w:cs="Segoe UI"/>
          <w:sz w:val="22"/>
          <w:szCs w:val="22"/>
        </w:rPr>
      </w:pPr>
      <w:r>
        <w:rPr>
          <w:rFonts w:ascii="Segoe UI" w:hAnsi="Segoe UI" w:cs="Segoe UI"/>
          <w:sz w:val="22"/>
          <w:szCs w:val="22"/>
        </w:rPr>
        <w:t xml:space="preserve">Pada permasalahan kedua, analisis dilanjutkan dengan dua langkah tambahan. Pertama, penyusunan matriks tanggung jawab berbasis peran yang memetakan kewenangan utama, bukti yang harus diperiksa, batas tanggung jawab, dan risiko hukum pada tiap posisi. Kedua, penarikan pola dari putusan pembanding guna menguji apakah matriks tersebut bersesuaian dengan penalaran yang selama ini dipakai pengadilan.</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dua cara. Pertama, setiap pernyataan mengenai rumusan norma diperiksa langsung pada teks peraturan, termasuk teks perubahannya. Kedua, setiap penilaian normatif diuji dengan menyandingkannya pada pandangan yang berbeda, khususnya pandangan yang mengingatkan risiko impunitas apabila pembatasan tanggung jawab dirumuskan terlalu longgar, agar argumentasi yang dibangun tidak bersifat satu arah.</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kedudukan dan tanggung jawab hukum guru berstatus pegawai negeri sipil pada satuan pendidikan negeri, sehingga tidak membahas guru pada satuan pendidikan swasta maupun pegawai pemerintah dengan perjanjian kerja secara mendalam. Penelitian ini juga tidak menilai kesalahan pihak tertentu dalam perkara yang masih berproses, melainkan memanfaatkan gambaran perkara untuk memahami pola persoalan. Kesimpulan yang ditarik berlaku pada tataran konstruksi hukum dan bukan merupakan penilaian atas kinerja satuan pendidikan tertentu.</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menganalisis kedudukan hukum guru pegawai negeri sipil sebagai aparatur sipil negara, sedangkan subbagian 3.2 menganalisis batas tanggung jawab hukumnya dalam pelaksanaan prinsip transparansi dan akuntabilitas.</w:t>
      </w:r>
    </w:p>
    <w:p>
      <w:pPr>
        <w:pStyle w:val="IEEEParagraph"/>
        <w:ind w:left="567" w:right="322"/>
      </w:pPr>
    </w:p>
    <w:p>
      <w:pPr>
        <w:pStyle w:val="Heading2"/>
        <w:ind w:right="322"/>
        <w:rPr>
          <w:rStyle w:val="mediumtext"/>
        </w:rPr>
      </w:pPr>
      <w:r>
        <w:rPr>
          <w:rStyle w:val="mediumtext"/>
        </w:rPr>
        <w:t xml:space="preserve">3.1 Kedudukan Hukum Guru Pegawai Negeri Sipil sebagai Aparatur Sipil Negara</w:t>
      </w:r>
    </w:p>
    <w:p>
      <w:pPr>
        <w:pStyle w:val="IEEEParagraph"/>
        <w:ind w:left="567" w:right="322" w:firstLine="567"/>
        <w:rPr>
          <w:rFonts w:ascii="Segoe UI" w:hAnsi="Segoe UI" w:cs="Segoe UI"/>
          <w:sz w:val="22"/>
          <w:szCs w:val="22"/>
        </w:rPr>
      </w:pPr>
      <w:r>
        <w:rPr>
          <w:rFonts w:ascii="Segoe UI" w:hAnsi="Segoe UI" w:cs="Segoe UI"/>
          <w:sz w:val="22"/>
          <w:szCs w:val="22"/>
        </w:rPr>
        <w:t xml:space="preserve">Temuan pertama penelitian ini adalah bahwa kedudukan hukum guru pegawai negeri sipil tidak tunggal. Ia berkedudukan sekaligus sebagai pegawai dalam hubungan dinas publik, pejabat fungsional, tenaga profesional, pelaksana kebijakan pendidikan, dan pelayan publik. Ketika memperoleh penugasan dalam pengelolaan dana operasional sekolah, ia bertambah pula menjadi subjek kewajiban khusus di bidang administrasi dan keuangan negara. Kemajemukan itu bukan persoalan penamaan, sebab setiap kedudukan melahirkan kewajiban, standar kehati-hatian, dan akibat hukum yang berbeda. Tabel 1 menyarikan kedudukan tersebut beserta implikasinya.</w:t>
      </w:r>
    </w:p>
    <w:p>
      <w:pPr>
        <w:pStyle w:val="IEEEParagraph"/>
        <w:ind w:left="567" w:right="322" w:firstLine="567"/>
        <w:rPr>
          <w:rFonts w:ascii="Segoe UI" w:hAnsi="Segoe UI" w:cs="Segoe UI"/>
          <w:sz w:val="22"/>
          <w:szCs w:val="22"/>
        </w:rPr>
      </w:pPr>
      <w:r>
        <w:rPr>
          <w:rFonts w:ascii="Segoe UI" w:hAnsi="Segoe UI" w:cs="Segoe UI"/>
          <w:sz w:val="22"/>
          <w:szCs w:val="22"/>
        </w:rPr>
        <w:t xml:space="preserve">Pembedaan antara kedudukan yang melekat pada profesi dan kedudukan yang lahir dari penugasan menjadi kunci pembahasan. Jabatan guru merupakan jabatan fungsional yang bertumpu pada keahlian dan tugas pelayanan pendidikan, bukan jabatan struktural yang dengan sendirinya mengendalikan anggaran. Kewenangan pokoknya berada pada kegiatan mendidik, mengajar, membimbing, mengarahkan, melatih, menilai, dan mengevaluasi peserta didik. Adapun penugasan sebagai anggota tim pengelola dana, bendahara, atau pengelola barang merupakan tugas tambahan yang bersumber pada surat keputusan, sehingga lingkupnya terbatas pada apa yang secara tegas diberikan di dalamnya.</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Kedudukan Hukum Guru Pegawai Negeri Sipil, Sumber Normatif, dan Implikasinya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200"/>
        <w:gridCol w:w="2900"/>
        <w:gridCol w:w="3926"/>
      </w:tblGrid>
      <w:tr>
        <w:trPr>
          <w:cantSplit/>
          <w:tblHeader/>
        </w:trPr>
        <w:tc>
          <w:tcPr>
            <w:tcW w:w="22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Kedudukan</w:t>
            </w:r>
          </w:p>
        </w:tc>
        <w:tc>
          <w:tcPr>
            <w:tcW w:w="29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Sumber Normatif</w:t>
            </w:r>
          </w:p>
        </w:tc>
        <w:tc>
          <w:tcPr>
            <w:tcW w:w="39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Implikasi bagi Tata Kelola Dana Sekolah</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Pegawai dalam hubungan dinas publik</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UU No. 20 Tahun 2023 tentang Aparatur Sipil Negara</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Kewajiban kedinasan ditentukan peraturan dan bukan negosiasi individual; loyalitas diarahkan kepada konstitusi dan hukum, bukan kepada pribadi atasan</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Pejabat fungsional</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UU No. 20 Tahun 2023 dan UU No. 14 Tahun 2005 tentang Guru dan Dosen</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Kewenangan pokok bertumpu pada keahlian mendidik dan bukan pada pengendalian anggaran</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Tenaga profesional</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UU No. 14 Tahun 2005</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Standar kompetensi dan kode etik menjadi ukuran kecermatan dalam menjalankan tugas</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Pelayan publik</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UU No. 20 Tahun 2023 dan UU No. 25 Tahun 2009 tentang Pelayanan Publik</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Kewajiban memberikan layanan yang objektif, tidak diskriminatif, dan terbuka</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Pengguna sumber daya publik</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Petunjuk teknis pengelolaan dana bantuan operasional satuan pendidikan</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Kewajiban memastikan barang dan jasa benar-benar diterima serta bermanfaat bagi peserta didik</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Pemegang penugasan tambahan pengelolaan dana</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Surat keputusan penugasan yang sah, tertulis, dan dapat ditelusuri</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Kewenangan keuangan lahir dari penugasan dan tidak melekat otomatis pada profesi guru</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hasil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Tabel 1 menghasilkan satu penegasan yang bersifat menentukan bagi seluruh pembahasan berikutnya, yaitu bahwa kewenangan mengelola keuangan sekolah tidak pernah melekat secara otomatis pada profesi guru. Kewenangan tersebut lahir dari jabatan atau penugasan tambahan yang sah, jelas, tertulis, dan dapat ditelusuri. Secara dogmatis, hal ini bersesuaian dengan ajaran bahwa tanggung jawab jabatan hanya dapat dibebankan kepada pemegang kewenangan, sedangkan pihak yang sekadar membantu pelaksanaan tugas tidak dengan sendirinya memikul tanggung jawab yang sama (Hadjon dkk., 2011).</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Penegasan itu memiliki dua sisi yang sama pentingnya. Pada satu sisi, ia melindungi guru dari pembebanan tanggung jawab yang tidak berdasar semata-mata karena berstatus aparatur sipil negara. Pada sisi lain, ia menutup dalih bahwa guru yang memperoleh penugasan tertulis dapat mengelak dengan alasan bahwa tugas pokoknya adalah mengajar. Konstruksi ini karenanya menjaga dua tujuan sekaligus, yaitu memastikan pemulihan kerugian negara dan mencegah kriminalisasi terhadap pegawai yang tidak memiliki kewenangan maupun kesalahan.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Kemajemukan kedudukan tersebut sekaligus menjelaskan peran guru dalam mewujudkan tata kelola pendidikan yang baik. Peran itu tidak terbatas pada kepatuhan administratif, melainkan mencakup penyelenggaraan layanan pendidikan yang objektif dan tidak diskriminatif, penyediaan data kebutuhan yang benar, partisipasi dalam perencanaan kegiatan dan anggaran, verifikasi manfaat belanja, keterbukaan informasi yang proporsional, pencegahan konflik kepentingan, serta pelaporan penyimpangan. Peran-peran itu bersumber pada asas-asas umum pemerintahan yang baik yang mengikat setiap tindakan aparatur, bukan pada kebiasaan administratif yang berlaku di sekolah (Ridwan HR, 2016).</w:t>
      </w:r>
    </w:p>
    <w:p>
      <w:pPr>
        <w:pStyle w:val="IEEEParagraph"/>
        <w:ind w:left="567" w:right="322"/>
      </w:pPr>
    </w:p>
    <w:p>
      <w:pPr>
        <w:pStyle w:val="Heading2"/>
        <w:ind w:right="322"/>
        <w:rPr>
          <w:rStyle w:val="mediumtext"/>
        </w:rPr>
      </w:pPr>
      <w:r>
        <w:rPr>
          <w:rStyle w:val="mediumtext"/>
        </w:rPr>
        <w:t xml:space="preserve">3.2 Batas Tanggung Jawab Hukum dalam Transparansi dan Akuntabilitas</w:t>
      </w:r>
    </w:p>
    <w:p>
      <w:pPr>
        <w:pStyle w:val="IEEEParagraph"/>
        <w:ind w:left="567" w:right="322" w:firstLine="567"/>
        <w:rPr>
          <w:rFonts w:ascii="Segoe UI" w:hAnsi="Segoe UI" w:cs="Segoe UI"/>
          <w:sz w:val="22"/>
          <w:szCs w:val="22"/>
        </w:rPr>
      </w:pPr>
      <w:r>
        <w:rPr>
          <w:rFonts w:ascii="Segoe UI" w:hAnsi="Segoe UI" w:cs="Segoe UI"/>
          <w:sz w:val="22"/>
          <w:szCs w:val="22"/>
        </w:rPr>
        <w:t xml:space="preserve">Temuan kedua penelitian ini adalah bahwa batas tanggung jawab hukum guru pegawai negeri sipil ditentukan oleh tujuh penanda, yaitu sumber kewenangan, uraian tugas, tindakan konkret, pengetahuan, kesalahan, hubungan kausal, dan manfaat yang diterima. Ketujuhnya bekerja secara kumulatif, sehingga keanggotaan dalam tim atau keberadaan tanda tangan pada suatu dokumen tidak cukup menjadi dasar pertanggungjawaban tanpa menilai fungsi dokumen tersebut dan kontribusi individual pemiliknya. Untuk mengoperasionalkan temuan itu, penelitian ini menyusun matriks tanggung jawab berbasis peran sebagaimana disajikan pada Tabel 2.</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Matriks Batas Tanggung Jawab Berdasarkan Peran dalam Pengelolaan Dana Sekolah</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500"/>
        <w:gridCol w:w="2600"/>
        <w:gridCol w:w="2900"/>
        <w:gridCol w:w="2026"/>
      </w:tblGrid>
      <w:tr>
        <w:trPr>
          <w:cantSplit/>
          <w:tblHeader/>
        </w:trPr>
        <w:tc>
          <w:tcPr>
            <w:tcW w:w="15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Peran</w:t>
            </w:r>
          </w:p>
        </w:tc>
        <w:tc>
          <w:tcPr>
            <w:tcW w:w="26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Kewenangan Utama</w:t>
            </w:r>
          </w:p>
        </w:tc>
        <w:tc>
          <w:tcPr>
            <w:tcW w:w="29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Batas Tanggung Jawab</w:t>
            </w:r>
          </w:p>
        </w:tc>
        <w:tc>
          <w:tcPr>
            <w:tcW w:w="20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Risiko Hukum Utama</w:t>
            </w:r>
          </w:p>
        </w:tc>
      </w:tr>
      <w:tr>
        <w:trPr>
          <w:cantSplit/>
        </w:trPr>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Kepala sekolah</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Menetapkan arah, menyetujui rencana kegiatan dan anggaran, mengendalikan pelaksanaan dan pelaporan</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otomatis bertanggung jawab atas setiap kesalahan teknis, tetapi memikul tanggung jawab manajerial dan kesalahan pribadi</w:t>
            </w:r>
          </w:p>
        </w:tc>
        <w:tc>
          <w:tcPr>
            <w:tcW w:w="20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Penyalahgunaan kewenangan, konflik kepentingan, persetujuan transaksi fiktif</w:t>
            </w:r>
          </w:p>
        </w:tc>
      </w:tr>
      <w:tr>
        <w:trPr>
          <w:cantSplit/>
        </w:trPr>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Bendahara</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Membukukan, membayar, menyimpan bukti, merekonsiliasi, dan melaporkan</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Sebatas transaksi yang dikelola dan diketahui; tidak mengambil alih tanggung jawab kebijakan kepala sekolah</w:t>
            </w:r>
          </w:p>
        </w:tc>
        <w:tc>
          <w:tcPr>
            <w:tcW w:w="20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Pembayaran tanpa dasar, bukti palsu, pencatatan tidak benar</w:t>
            </w:r>
          </w:p>
        </w:tc>
      </w:tr>
      <w:tr>
        <w:trPr>
          <w:cantSplit/>
        </w:trPr>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Guru anggota tim</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Memberi masukan, memverifikasi kegiatan sesuai tugas, mengikuti rapat dan pemantauan</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Ditentukan tugas nyata dan pengetahuan; keanggotaan formal tidak cukup</w:t>
            </w:r>
          </w:p>
        </w:tc>
        <w:tc>
          <w:tcPr>
            <w:tcW w:w="20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Mengesahkan dokumen palsu, membantu pengadaan semu</w:t>
            </w:r>
          </w:p>
        </w:tc>
      </w:tr>
      <w:tr>
        <w:trPr>
          <w:cantSplit/>
        </w:trPr>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Guru pengguna</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Mengusulkan kebutuhan serta memeriksa manfaat dan penerimaan barang</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menanggung pemilihan penyedia maupun penetapan harga jika tidak berwenang</w:t>
            </w:r>
          </w:p>
        </w:tc>
        <w:tc>
          <w:tcPr>
            <w:tcW w:w="20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Konfirmasi penerimaan fiktif atau kebutuhan yang direkayasa</w:t>
            </w:r>
          </w:p>
        </w:tc>
      </w:tr>
      <w:tr>
        <w:trPr>
          <w:cantSplit/>
        </w:trPr>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Komite sekolah</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Memberi pertimbangan dan pengawasan partisipatif</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menjalankan fungsi eksekusi keuangan kecuali dasar hukum memberi peran</w:t>
            </w:r>
          </w:p>
        </w:tc>
        <w:tc>
          <w:tcPr>
            <w:tcW w:w="20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Legitimasi formal, pungutan yang melanggar aturan, konflik kepentingan</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hasil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matriks pada Tabel 2 memperlihatkan bahwa satu transaksi dapat melahirkan beberapa lapisan tanggung jawab tanpa harus menyamakan tingkat kesalahan. Kepala sekolah dapat bertanggung jawab atas persetujuan dan pengendalian, bendahara atas pembayaran dan pembukuan, guru pengguna atas konfirmasi penerimaan, sedangkan penyedia atas kebenaran penyerahan barang. Pembagian tersebut memungkinkan penegakan hukum menilai kontribusi individual sekaligus memahami bagaimana kelemahan sistem memungkinkan penyimpangan berlangsung berulang.</w:t>
      </w:r>
    </w:p>
    <w:p>
      <w:pPr>
        <w:pStyle w:val="IEEEParagraph"/>
        <w:ind w:left="567" w:right="322" w:firstLine="567"/>
        <w:rPr>
          <w:rFonts w:ascii="Segoe UI" w:hAnsi="Segoe UI" w:cs="Segoe UI"/>
          <w:sz w:val="22"/>
          <w:szCs w:val="22"/>
        </w:rPr>
      </w:pPr>
      <w:r>
        <w:rPr>
          <w:rFonts w:ascii="Segoe UI" w:hAnsi="Segoe UI" w:cs="Segoe UI"/>
          <w:sz w:val="22"/>
          <w:szCs w:val="22"/>
        </w:rPr>
        <w:t xml:space="preserve">Matriks tersebut bersesuaian dengan pola penalaran yang selama ini dipakai pengadilan. Penelaahan terhadap putusan pembanding pada perkara pengelolaan dana sekolah memperlihatkan empat pola yang berulang. Pertama, jabatan merupakan pintu masuk pembuktian dan bukan bukti tunggal, sehingga pembuktian tetap harus menunjukkan tindakan konkret. Kedua, dokumen anggaran yang telah disahkan tidak membenarkan transaksi apabila kegiatan tidak dilaksanakan atau bukti dibuat fiktif, sehingga kebenaran realisasi harus dibuktikan terpisah dari perencanaannya.</w:t>
      </w:r>
    </w:p>
    <w:p>
      <w:pPr>
        <w:pStyle w:val="IEEEParagraph"/>
        <w:ind w:left="567" w:right="322" w:firstLine="567"/>
        <w:rPr>
          <w:rFonts w:ascii="Segoe UI" w:hAnsi="Segoe UI" w:cs="Segoe UI"/>
          <w:sz w:val="22"/>
          <w:szCs w:val="22"/>
        </w:rPr>
      </w:pPr>
      <w:r>
        <w:rPr>
          <w:rFonts w:ascii="Segoe UI" w:hAnsi="Segoe UI" w:cs="Segoe UI"/>
          <w:sz w:val="22"/>
          <w:szCs w:val="22"/>
        </w:rPr>
        <w:t xml:space="preserve">Ketiga, pembentukan tim tidak menghapus tanggung jawab individual; anggota yang pasif, anggota yang menolak, dan anggota yang mengatur transaksi tidak dapat diperlakukan sama, sehingga notulen dan pembagian tugas menjadi bukti penting untuk menguji kesatuan kehendak. Perlu ditegaskan pula bahwa tanda tangan tidak memiliki makna hukum yang seragam: tanda tangan pada daftar hadir berbeda dari tanda tangan pada berita acara penerimaan barang, dan keduanya berbeda pula dari tanda tangan pada dokumen otorisasi pembayaran. Penilaian atas tanggung jawab karenanya harus dimulai dari pertanyaan mengenai fungsi dokumen yang ditandatangani, bukan dari keberadaan tanda tangan itu sendiri. Keempat, penghitungan kerugian negara harus didasarkan pada metode yang dapat diuji dan tidak semata-mata pada ketidaklengkapan dokumen, sebab barang yang ada tetapi tidak sesuai spesifikasi memerlukan penilaian yang berbeda dari transaksi yang sepenuhnya fiktif. Keempat pola itu sejalan dengan asas tiada pidana tanpa kesalahan (Chazawi, 2016).</w:t>
      </w:r>
    </w:p>
    <w:p>
      <w:pPr>
        <w:pStyle w:val="IEEEParagraph"/>
        <w:ind w:left="567" w:right="322" w:firstLine="567"/>
        <w:rPr>
          <w:rFonts w:ascii="Segoe UI" w:hAnsi="Segoe UI" w:cs="Segoe UI"/>
          <w:sz w:val="22"/>
          <w:szCs w:val="22"/>
        </w:rPr>
      </w:pPr>
      <w:r>
        <w:rPr>
          <w:rFonts w:ascii="Segoe UI" w:hAnsi="Segoe UI" w:cs="Segoe UI"/>
          <w:sz w:val="22"/>
          <w:szCs w:val="22"/>
        </w:rPr>
        <w:t xml:space="preserve">Terdapat penegasan normatif yang memperkuat matriks tersebut dan belum banyak dimanfaatkan dalam praktik. Undang-Undang Nomor 30 Tahun 2014 tentang Administrasi Pemerintahan membedakan secara tegas antara kesalahan administratif yang tidak menimbulkan kerugian keuangan negara, kesalahan administratif yang menimbulkan kerugian keuangan negara, dan kesalahan administratif yang menimbulkan kerugian keuangan negara akibat adanya unsur penyalahgunaan wewenang. Terhadap kategori kedua, undang-undang tersebut menyediakan mekanisme pengembalian kerugian negara dalam jangka waktu tertentu sesudah terbitnya hasil pengawasan aparat pengawasan internal pemerintah.</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pembedaan itu merupakan pijakan normatif yang tepat bagi matriks berbasis peran. Guru yang keliru dalam administrasi tanpa kewenangan, tanpa pengetahuan atas penyimpangan, dan tanpa memperoleh manfaat, seharusnya dinilai pada kategori kesalahan administratif dan bukan langsung diproses sebagai perkara pidana. Sebaliknya, guru yang secara sadar membuat atau mengesahkan dokumen palsu, mengonfirmasi penerimaan fiktif, mengatur penyedia, memfasilitasi pencairan, menerima keuntungan, atau membantu menutupi penyimpangan berada pada kategori penyalahgunaan wewenang dan dapat dimintai pertanggungjawaban sesuai perannya.</w:t>
      </w:r>
    </w:p>
    <w:p>
      <w:pPr>
        <w:pStyle w:val="IEEEParagraph"/>
        <w:ind w:left="567" w:right="322" w:firstLine="567"/>
        <w:rPr>
          <w:rFonts w:ascii="Segoe UI" w:hAnsi="Segoe UI" w:cs="Segoe UI"/>
          <w:sz w:val="22"/>
          <w:szCs w:val="22"/>
        </w:rPr>
      </w:pPr>
      <w:r>
        <w:rPr>
          <w:rFonts w:ascii="Segoe UI" w:hAnsi="Segoe UI" w:cs="Segoe UI"/>
          <w:sz w:val="22"/>
          <w:szCs w:val="22"/>
        </w:rPr>
        <w:t xml:space="preserve">Kebutuhan akan pemilahan tersebut justru bertambah mendesak dalam rezim pemidanaan yang berlaku sekarang. Undang-Undang Nomor 1 Tahun 2026 tentang Penyesuaian Pidana menghapus ancaman pidana minimum khusus dalam undang-undang di luar Kitab Undang-Undang Hukum Pidana, namun tindak pidana korupsi secara tegas dikecualikan sehingga ancaman minimum khususnya tetap dipertahankan. Konsekuensinya, kekeliruan menempatkan seorang guru sebagai pihak yang bertanggung jawab tidak dapat dikoreksi melalui keringanan pidana, sehingga ketepatan penilaian pada tahap penyelidikan dan penyidikan menjadi penentu.</w:t>
      </w:r>
    </w:p>
    <w:p>
      <w:pPr>
        <w:pStyle w:val="IEEEParagraph"/>
        <w:ind w:left="567" w:right="322" w:firstLine="567"/>
        <w:rPr>
          <w:rFonts w:ascii="Segoe UI" w:hAnsi="Segoe UI" w:cs="Segoe UI"/>
          <w:sz w:val="22"/>
          <w:szCs w:val="22"/>
        </w:rPr>
      </w:pPr>
      <w:r>
        <w:rPr>
          <w:rFonts w:ascii="Segoe UI" w:hAnsi="Segoe UI" w:cs="Segoe UI"/>
          <w:sz w:val="22"/>
          <w:szCs w:val="22"/>
        </w:rPr>
        <w:t xml:space="preserve">Posisi penulis pada titik ini bersifat berimbang. Pembatasan tanggung jawab tidak boleh dirumuskan sedemikian longgar sehingga melahirkan impunitas bagi pihak yang secara nyata membantu terjadinya penyimpangan, sebab kerugian dana pendidikan tidak hanya berupa angka fiskal melainkan juga berupa hilangnya manfaat yang seharusnya diterima peserta didik. Yang dituntut adalah ketepatan, bukan kelonggaran: penegakan hukum harus menjangkau pihak yang berkontribusi sekaligus melindungi pihak yang beritikad baik, dan keduanya hanya dapat dicapai apabila penilaian dilakukan berbasis peran nyata (Rahardjo, 2009).</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Guru pegawai negeri sipil berkedudukan sebagai aparatur negara dalam hubungan dinas publik, pejabat fungsional, tenaga profesional, pelaksana kebijakan pendidikan, dan pelayan publik. Kedudukan yang majemuk itu mengikatnya pada konstitusi, undang-undang aparatur sipil negara, undang-undang guru dan dosen, hukum administrasi pemerintahan, ketentuan disiplin pegawai negeri sipil, asas-asas umum pemerintahan yang baik, serta prinsip tata kelola yang baik. Peran guru dalam mewujudkan tata kelola pendidikan yang baik meliputi penyelenggaraan layanan pendidikan yang objektif dan tidak diskriminatif, penyediaan data kebutuhan yang benar, partisipasi dalam perencanaan, verifikasi manfaat belanja, keterbukaan informasi yang proporsional, pencegahan konflik kepentingan, serta pelaporan penyimpangan. Temuan yang paling menentukan adalah bahwa kewenangan pengelolaan keuangan tidak melekat otomatis pada profesi guru, melainkan lahir dari jabatan atau penugasan tambahan yang sah, jelas, tertulis, dan dapat ditelusuri.</w:t>
      </w:r>
    </w:p>
    <w:p>
      <w:pPr>
        <w:pStyle w:val="IEEEParagraph"/>
        <w:ind w:left="567" w:right="322" w:firstLine="567"/>
        <w:rPr>
          <w:rFonts w:ascii="Segoe UI" w:hAnsi="Segoe UI" w:cs="Segoe UI"/>
          <w:sz w:val="22"/>
          <w:szCs w:val="22"/>
        </w:rPr>
      </w:pPr>
      <w:r>
        <w:rPr>
          <w:rFonts w:ascii="Segoe UI" w:hAnsi="Segoe UI" w:cs="Segoe UI"/>
          <w:sz w:val="22"/>
          <w:szCs w:val="22"/>
        </w:rPr>
        <w:t xml:space="preserve">Batas tanggung jawab hukum guru pegawai negeri sipil ditentukan oleh sumber kewenangan, uraian tugas, tindakan konkret, pengetahuan, kesalahan, hubungan kausal, dan manfaat yang diterima. Tanggung jawab administratif, keperdataan berupa pemulihan kerugian, dan tanggung jawab pidana memiliki unsur serta prosedur yang berbeda sehingga tidak boleh dipertukarkan. Keanggotaan tim atau keberadaan tanda tangan tidak cukup menjadi dasar pertanggungjawaban tanpa menilai fungsi dokumen dan kontribusi individual. Guru yang secara sadar membuat atau mengesahkan dokumen palsu, mengonfirmasi penerimaan fiktif, mengatur penyedia, memfasilitasi pencairan, menerima keuntungan, atau membantu menutupi penyimpangan dapat dimintai pertanggungjawaban sesuai perannya; sebaliknya guru yang tidak berwenang, tidak mengetahui, tidak berkontribusi, dan tidak memperoleh manfaat harus dilindungi dari pertanggungjawaban kolektif. Pembedaan tersebut telah memiliki pijakan normatif pada pembedaan antara kesalahan administratif dan penyalahgunaan wewenang dalam hukum administrasi pemerintahan.</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kementerian yang membidangi pendidikan menyediakan matriks tanggung jawab baku bagi kepala sekolah, bendahara, anggota tim, guru pengguna, dan komite sekolah, serta mengintegrasikan deklarasi konflik kepentingan dan verifikasi penyedia dalam sistem pengelolaan dana sekolah secara digital. Setiap perubahan pengaturan teknis perlu disertai modul transisi dan penjelasan mengenai konsekuensi hukum tanda tangan, agar sekolah tidak hanya menerima norma melainkan memahami penerapannya. Pemerintah daerah dan dinas pendidikan disarankan menetapkan penugasan pengelola dana sekolah berdasarkan kompetensi dan beban kerja, menyelenggarakan pelatihan sebelum akses diberikan, serta menyediakan layanan konsultasi hukum dan administrasi yang mudah dijangkau. Bagi aparat pengawasan internal, temuan perlu diklasifikasi secara proporsional antara kesalahan administrasi, kerugian yang dapat dipulihkan, pelanggaran disiplin, dan indikasi pidana. Adapun bagi pengembangan ilmu, penelitian lanjutan disarankan menguji penerapan matriks berbasis peran pada putusan-putusan pengadilan dengan cakupan yang lebih luas.</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Asshiddiqie, J. (2010). </w:t>
      </w:r>
      <w:r>
        <w:rPr>
          <w:rFonts w:cs="Segoe UI"/>
          <w:sz w:val="20"/>
          <w:szCs w:val="20"/>
          <w:i/>
          <w:iCs/>
        </w:rPr>
        <w:t xml:space="preserve">Perihal undang-undang</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Chazawi, A. (2016). </w:t>
      </w:r>
      <w:r>
        <w:rPr>
          <w:rFonts w:cs="Segoe UI"/>
          <w:sz w:val="20"/>
          <w:szCs w:val="20"/>
          <w:i/>
          <w:iCs/>
        </w:rPr>
        <w:t xml:space="preserve">Hukum pidana korupsi di Indonesia</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Hadjon, P. M., dkk. (2011). </w:t>
      </w:r>
      <w:r>
        <w:rPr>
          <w:rFonts w:cs="Segoe UI"/>
          <w:sz w:val="20"/>
          <w:szCs w:val="20"/>
          <w:i/>
          <w:iCs/>
        </w:rPr>
        <w:t xml:space="preserve">Pengantar hukum administrasi Indonesia</w:t>
      </w:r>
      <w:r>
        <w:rPr>
          <w:rFonts w:cs="Segoe UI"/>
          <w:sz w:val="20"/>
          <w:szCs w:val="20"/>
        </w:rPr>
        <w:t xml:space="preserve">. Gadjah Mada University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Hamzah, A. (2007). </w:t>
      </w:r>
      <w:r>
        <w:rPr>
          <w:rFonts w:cs="Segoe UI"/>
          <w:sz w:val="20"/>
          <w:szCs w:val="20"/>
          <w:i/>
          <w:iCs/>
        </w:rPr>
        <w:t xml:space="preserve">Pemberantasan korupsi ditinjau dari hukum pidana materiil dan formil</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Ibrahim, J. (2013). </w:t>
      </w:r>
      <w:r>
        <w:rPr>
          <w:rFonts w:cs="Segoe UI"/>
          <w:sz w:val="20"/>
          <w:szCs w:val="20"/>
          <w:i/>
          <w:iCs/>
        </w:rPr>
        <w:t xml:space="preserve">Teori dan metodologi penelitian hukum normatif</w:t>
      </w:r>
      <w:r>
        <w:rPr>
          <w:rFonts w:cs="Segoe UI"/>
          <w:sz w:val="20"/>
          <w:szCs w:val="20"/>
        </w:rPr>
        <w:t xml:space="preserve">. Bayumedia Publishing.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Marbun, S. F. (2011). </w:t>
      </w:r>
      <w:r>
        <w:rPr>
          <w:rFonts w:cs="Segoe UI"/>
          <w:sz w:val="20"/>
          <w:szCs w:val="20"/>
          <w:i/>
          <w:iCs/>
        </w:rPr>
        <w:t xml:space="preserve">Peradilan administrasi negara dan upaya administratif di Indonesia</w:t>
      </w:r>
      <w:r>
        <w:rPr>
          <w:rFonts w:cs="Segoe UI"/>
          <w:sz w:val="20"/>
          <w:szCs w:val="20"/>
        </w:rPr>
        <w:t xml:space="preserve">. FH UII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Marzuki, P. M. (2016). </w:t>
      </w:r>
      <w:r>
        <w:rPr>
          <w:rFonts w:cs="Segoe UI"/>
          <w:sz w:val="20"/>
          <w:szCs w:val="20"/>
          <w:i/>
          <w:iCs/>
        </w:rPr>
        <w:t xml:space="preserve">Penelitian hukum: Edisi revisi</w:t>
      </w:r>
      <w:r>
        <w:rPr>
          <w:rFonts w:cs="Segoe UI"/>
          <w:sz w:val="20"/>
          <w:szCs w:val="20"/>
        </w:rPr>
        <w:t xml:space="preserve">. Kencana Prenada Media Group.</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Rahardjo, S. (2009). </w:t>
      </w:r>
      <w:r>
        <w:rPr>
          <w:rFonts w:cs="Segoe UI"/>
          <w:sz w:val="20"/>
          <w:szCs w:val="20"/>
          <w:i/>
          <w:iCs/>
        </w:rPr>
        <w:t xml:space="preserve">Hukum progresif: Sebuah sintesa hukum Indonesia</w:t>
      </w:r>
      <w:r>
        <w:rPr>
          <w:rFonts w:cs="Segoe UI"/>
          <w:sz w:val="20"/>
          <w:szCs w:val="20"/>
        </w:rPr>
        <w:t xml:space="preserve">. Genta Publishing.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Ridwan HR. (2016). </w:t>
      </w:r>
      <w:r>
        <w:rPr>
          <w:rFonts w:cs="Segoe UI"/>
          <w:sz w:val="20"/>
          <w:szCs w:val="20"/>
          <w:i/>
          <w:iCs/>
        </w:rPr>
        <w:t xml:space="preserve">Hukum administrasi negara</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Soekanto, S., &amp; Mamudji, S. (2015). </w:t>
      </w:r>
      <w:r>
        <w:rPr>
          <w:rFonts w:cs="Segoe UI"/>
          <w:sz w:val="20"/>
          <w:szCs w:val="20"/>
          <w:i/>
          <w:iCs/>
        </w:rPr>
        <w:t xml:space="preserve">Penelitian hukum normatif: Suatu tinjauan singkat</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Dasar Negara Republik Indonesia Tahun 1945.</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31 Tahun 1999 tentang Pemberantasan Tindak Pidana Korupsi sebagaimana diubah dengan Undang-Undang Republik Indonesia Nomor 20 Tahun 2001.</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2003 tentang Sistem Pendidikan Nasional.</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14 Tahun 2005 tentang Guru dan Dosen.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25 Tahun 2009 tentang Pelayanan Publik.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30 Tahun 2014 tentang Administrasi Pemerintahan.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2023 tentang Aparatur Sipil Negara.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2026 tentang Penyesuaian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Pemerintah Republik Indonesia Nomor 94 Tahun 2021 tentang Disiplin Pegawai Negeri Sipil.</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Meldam Rosliani Makaba</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