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Implementasi Keadilan Restoratif dan Beban Pendanaan Pemulihan Korban dalam Penetapan Diversi Anak</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Maya Helena Eka Putri</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maya@ukipaulus.ac.id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restorative justice, diversion, juvenile criminal justice, traffic offence, victim recovery, child restitution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keadilan restoratif, diversi, peradilan pidana anak, tindak pidana lalu lintas, pemulihan korban, restitusi anak</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Diversion obliges the state to resolve juvenile cases through recovery rather than punishment, yet recovery in fatal traffic cases almost always carries a material price the offender's family may be unable to pay. This study examines the implementation of restorative justice, its conformity with the juvenile justice framework, and the factors affecting its effectiveness in Bulukumba District Court Diversion Order Number 12/Pen.Div/2025/PN Blk. The research is normative-empirical legal research using statutory, conceptual, and case approaches, supported by document study and an interview with a judge. The findings show that the facilitator applied mapping, reframing, and caucus techniques, that recovery was extended to the victim's family, and that all core restorative principles appear in the agreement. The study's central finding, however, is that part of the agreed compensation was funded by the law enforcement officers themselves. That practice reflects genuine empathy but also exposes a structural gap: no state mechanism finances victim recovery in juvenile cases, so the success of diversion still depends on the family's means.</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Diversi mewajibkan negara menyelesaikan perkara anak melalui pemulihan alih-alih penghukuman, namun pemulihan pada perkara lalu lintas yang menimbulkan kematian hampir selalu berharga materiil yang belum tentu terjangkau keluarga pelaku. Penelitian ini mengkaji implementasi keadilan restoratif, kesesuaiannya dengan kerangka peradilan pidana anak, serta faktor yang memengaruhi efektivitasnya dalam Penetapan Diversi Pengadilan Negeri Bulukumba Nomor 12/Pen.Div/2025/PN Blk. Penelitian ini merupakan penelitian hukum normatif-empiris dengan pendekatan peraturan perundang-undangan, konseptual, dan kasus, ditopang studi dokumen serta wawancara dengan hakim. Hasil penelitian menunjukkan fasilitator menerapkan teknik pemetaan, pembingkaian ulang, dan kaukus; fokus pemulihan diperluas kepada keluarga korban; dan seluruh prinsip pokok keadilan restoratif tercermin dalam kesepakatan. Temuan utama penelitian ini adalah bahwa sebagian nilai pemulihan yang disepakati justru dipenuhi oleh aparat penegak hukum yang menangani perkara. Praktik itu mencerminkan empati yang nyata, tetapi sekaligus menyingkapkan celah struktural: tidak tersedia mekanisme negara yang membiayai pemulihan korban dalam perkara anak, sehingga keberhasilan diversi masih bergantung pada kemampuan ekonomi keluarga.</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Sistem peradilan pidana anak di Indonesia bertolak dari premis bahwa anak yang berhadapan dengan hukum bukanlah objek penghukuman melainkan subjek yang masih tumbuh dan berhak memperoleh perlindungan. Undang-Undang Nomor 11 Tahun 2012 tentang Sistem Peradilan Pidana Anak menegaskan hal itu melalui Pasal 5 ayat (1) yang mewajibkan sistem peradilan pidana anak mengutamakan pendekatan keadilan restoratif. Keadilan restoratif sendiri dirumuskan sebagai penyelesaian tindak pidana yang melibatkan pelaku, korban, keluarga, dan pihak terkait untuk bersama-sama mencari penyelesaian yang adil dengan menekankan pemulihan kembali pada keadaan semula, bukan pembalasan.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tersebut menempatkan korban pada posisi yang berbeda dari sistem peradilan konvensional. Korban tidak lagi diperlakukan sekadar sebagai alat bukti dalam hubungan antara negara dan pelaku, melainkan sebagai pihak utama yang berhak menyampaikan dampak yang dialaminya dan menentukan bentuk pemulihan yang dibutuhkan (Zehr, 1990). Pada saat yang sama, pelaku didorong bertanggung jawab secara moral dan sosial, bukan dibebaskan dari tanggung jawab (Zulfa, 2009). Diversi merupakan sarana kelembagaan untuk mewujudkan gagasan itu dalam perkara anak (Marlina, 2009).</w:t>
      </w:r>
    </w:p>
    <w:p>
      <w:pPr>
        <w:pStyle w:val="IEEEParagraph"/>
        <w:ind w:left="567" w:right="322" w:firstLine="567"/>
        <w:rPr>
          <w:rFonts w:ascii="Segoe UI" w:hAnsi="Segoe UI" w:cs="Segoe UI"/>
          <w:sz w:val="22"/>
          <w:szCs w:val="22"/>
        </w:rPr>
      </w:pPr>
      <w:r>
        <w:rPr>
          <w:rFonts w:ascii="Segoe UI" w:hAnsi="Segoe UI" w:cs="Segoe UI"/>
          <w:sz w:val="22"/>
          <w:szCs w:val="22"/>
        </w:rPr>
        <w:t xml:space="preserve">Kehadiran undang-undang peradilan pidana anak menandai pergeseran yang cukup mendasar dalam kebijakan pemidanaan Indonesia, dari sistem yang memperlakukan anak sebagai pelaku kejahatan dalam arti biasa menuju sistem yang menempatkan kepentingan terbaik bagi anak sebagai pertimbangan utama (Sambas, 2010). Pergeseran itu menuntut aparat memandang perkara anak sebagai perkara dengan karakteristik tersendiri, sehingga penanganannya menuntut kelembagaan, keterampilan, dan sarana yang berbeda dari perkara pidana pada umumnya (Mulyadi, 2014).</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muncul ketika gagasan tersebut dihadapkan pada jenis perkara tertentu. Tindak pidana lalu lintas yang dilakukan anak dan menimbulkan korban meninggal dunia menghadirkan keadaan yang khas: kerugian yang timbul tidak dapat dipulihkan dalam arti yang sebenarnya, sementara pihak yang paling membutuhkan pemulihan bergeser dari korban kepada keluarga yang ditinggalkan. Dalam keadaan demikian, bentuk pemulihan yang tersedia hampir selalu bersifat materiil, padahal kemampuan ekonomi keluarga anak pelaku belum tentu memadai.</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Penetapan Pengadilan Negeri Bulukumba Nomor 12/Pen.Div/2025/PN Blk juncto Nomor 9/Pid.Sus-Anak/2025/PN Blk menghadirkan keadaan tersebut secara konkret. Berdasarkan data Sistem Informasi Penelusuran Perkara pada pengadilan tersebut, selama periode 2022 sampai 2026 terdapat delapan perkara tindak pidana lalu lintas, dua di antaranya melibatkan pelaku anak, dan hanya satu yang berhasil diselesaikan melalui diversi. Perkara yang berhasil itulah yang menjadi objek kajian penelitian ini, dan di dalamnya terdapat praktik yang jarang dibahas dalam kepustakaan, yaitu turut sertanya aparat penegak hukum yang menangani perkara dalam memenuhi nilai pemulihan yang disepakati.</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hukum yang muncul bersifat berlapis. Pada lapis pertama terdapat pertanyaan mengenai bagaimana keadilan restoratif sesungguhnya diimplementasikan dalam proses diversi tersebut, tidak hanya dalam bentuk produk hukum formal melainkan juga dalam praktik musyawarahnya. Pada lapis kedua terdapat pertanyaan mengenai kesesuaian penerapan itu dengan Undang-Undang Nomor 11 Tahun 2012, Peraturan Mahkamah Agung Nomor 1 Tahun 2024, serta arah pembaruan hukum pidana nasional. Pada lapis ketiga terdapat pertanyaan mengenai faktor-faktor yang memengaruhi efektivitas penerapannya.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diversi dan keadilan restoratif dalam perkara anak telah berkembang cukup lama. Zehr (1990) meletakkan kerangka konseptual keadilan restoratif, Marlina (2009) dan Wahyudi (2011) mengkaji pengembangan gagasan diversi dalam pembaruan sistem peradilan pidana anak Indonesia, sedangkan Gultom (2014) menelaah perlindungan hukum terhadap anak dalam sistem tersebut. Kajian-kajian itu berjasa membangun landasan konseptual, tetapi umumnya berhenti pada penilaian atas terpenuhi atau tidaknya prinsip restoratif, dan jarang menelusuri dari mana nilai pemulihan yang disepakati sesungguhnya berasal.</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menempatkan pertanyaan mengenai sumber pendanaan pemulihan sebagai bagian dari analisis, bukan sebagai catatan pinggir. Pertanyaan itu penting karena menyentuh keberlanjutan diversi sebagai kebijakan: apabila keberhasilan pemulihan bergantung pada kemampuan ekonomi keluarga anak atau pada kemurahan hati aparat, maka keadilan restoratif berisiko hanya terjangkau oleh sebagian anak. Penelitian ini juga menempatkan penetapan pada titik transisi sistem pemidanaan nasional, sebab sejak 2 Januari 2026 berlaku Undang-Undang Nomor 1 Tahun 2023 dan Undang-Undang Nomor 20 Tahun 2025 yang memberi tempat lebih luas pada penyelesaian restoratif.</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implementasi keadilan restoratif terhadap tindak pidana lalu lintas oleh anak berdasarkan penetapan tersebut; kedua, menilai kesesuaiannya dengan Undang-Undang Nomor 11 Tahun 2012, Peraturan Mahkamah Agung Nomor 1 Tahun 2024, dan semangat pembaruan hukum pidana nasional; ketiga, mengidentifikasi faktor-faktor yang memengaruhi efektivitas penerapannya. Secara teoretis, penelitian ini berkontribusi pada kajian hukum pidana anak dengan menautkan prinsip pemulihan pada persoalan pembiayaannya. Secara praktis, hasilnya dapat menjadi rujukan bagi pembentuk kebijakan dalam menyediakan mekanisme pendukung agar diversi tidak bergantung pada kemampuan ekonomi para pihak.</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normatif-empiris. Dimensi normatif ditempuh dengan menganalisis asas, norma, dan peraturan perundang-undangan yang mengatur keadilan restoratif dan diversi, sedangkan dimensi empiris ditempuh untuk melihat bagaimana aturan tersebut diimplementasikan pada tataran institusi peradilan. Pilihan itu ditentukan oleh karakter permasalahan yang dirumuskan, yang menuntut penilaian atas kesesuaian norma sekaligus atas praktik pelaksanaannya.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Tiga pendekatan digunakan secara berlapis.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dipakai untuk menelaah ketentuan yang mengatur diversi dan keadilan restoratif beserta perkembangannya. Pendekatan konseptual (</w:t>
      </w:r>
      <w:r>
        <w:rPr>
          <w:rFonts w:ascii="Segoe UI" w:hAnsi="Segoe UI" w:cs="Segoe UI"/>
          <w:sz w:val="22"/>
          <w:szCs w:val="22"/>
          <w:i/>
          <w:iCs/>
        </w:rPr>
        <w:t xml:space="preserve">conceptual approach</w:t>
      </w:r>
      <w:r>
        <w:rPr>
          <w:rFonts w:ascii="Segoe UI" w:hAnsi="Segoe UI" w:cs="Segoe UI"/>
          <w:sz w:val="22"/>
          <w:szCs w:val="22"/>
        </w:rPr>
        <w:t xml:space="preserve">) dipakai untuk mendudukkan konsep keadilan restoratif, kepentingan terbaik bagi anak, pemulihan korban, dan pidana sebagai upaya terakhir. Pendekatan kasus (</w:t>
      </w:r>
      <w:r>
        <w:rPr>
          <w:rFonts w:ascii="Segoe UI" w:hAnsi="Segoe UI" w:cs="Segoe UI"/>
          <w:sz w:val="22"/>
          <w:szCs w:val="22"/>
          <w:i/>
          <w:iCs/>
        </w:rPr>
        <w:t xml:space="preserve">case approach</w:t>
      </w:r>
      <w:r>
        <w:rPr>
          <w:rFonts w:ascii="Segoe UI" w:hAnsi="Segoe UI" w:cs="Segoe UI"/>
          <w:sz w:val="22"/>
          <w:szCs w:val="22"/>
        </w:rPr>
        <w:t xml:space="preserve">) dipakai untuk mengkaji penetapan yang menjadi objek penelitian, termasuk praktik musyawarah yang mendahuluinya (Marzuki,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Perpaduan ketiganya diperlukan karena permasalahan penelitian tidak berhenti pada pertanyaan apakah prinsip restoratif terpenuhi di atas kertas, melainkan berlanjut pada pertanyaan bagaimana prinsip itu dijalankan dalam ruang musyawarah dan apa yang menentukan keberhasilannya. Pertanyaan terakhir menuntut data yang tidak seluruhnya tersedia dalam dokumen, sehingga penelusuran lapangan menjadi pelengkap yang diperlukan.</w:t>
      </w:r>
    </w:p>
    <w:p>
      <w:pPr>
        <w:pStyle w:val="IEEEParagraph"/>
        <w:ind w:left="567" w:right="322"/>
      </w:pPr>
    </w:p>
    <w:p>
      <w:pPr>
        <w:pStyle w:val="Heading2"/>
        <w:ind w:right="322"/>
        <w:rPr>
          <w:rStyle w:val="mediumtext"/>
        </w:rPr>
      </w:pPr>
      <w:r>
        <w:rPr>
          <w:rStyle w:val="mediumtext"/>
        </w:rPr>
        <w:t xml:space="preserve">2.2 Lokasi Penelitian,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Pengadilan Negeri Bulukumba, Provinsi Sulawesi Selatan, dengan menitikberatkan pada Penetapan Nomor 12/Pen.Div/2025/PN Blk juncto Nomor 9/Pid.Sus-Anak/2025/PN Blk. Data primer diperoleh dari lapangan melalui wawancara langsung dengan hakim dan pihak terkait penanganan perkara, sedangkan data sekunder diperoleh melalui studi kepustakaan berupa buku, peraturan perundang-undangan, dan dokumen lain yang berkaitan dengan masalah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meliputi Undang-Undang Dasar Negara Republik Indonesia Tahun 1945, Undang-Undang Nomor 8 Tahun 1981 tentang Hukum Acara Pidana, Undang-Undang Nomor 22 Tahun 2009 tentang Lalu Lintas dan Angkutan Jalan, Undang-Undang Nomor 11 Tahun 2012 tentang Sistem Peradilan Pidana Anak, Undang-Undang Nomor 1 Tahun 2023 tentang Kitab Undang-Undang Hukum Pidana, Undang-Undang Nomor 20 Tahun 2025 tentang Kitab Undang-Undang Hukum Acara Pidana, Peraturan Pemerintah Nomor 43 Tahun 2017, Peraturan Mahkamah Agung Nomor 4 Tahun 2014, Peraturan Mahkamah Agung Nomor 1 Tahun 2024, Keputusan Direktur Jenderal Badan Peradilan Umum Nomor 2176/DJU/SK/PS01/12/2017, serta penetapan yang menjadi objek penelitian. Bahan hukum sekunder berupa buku, artikel jurnal, dan hasil penelitian terdahulu yang relevan.</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sekunder dikumpulkan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Data primer dikumpulkan melalui wawancara dengan hakim yang menangani perkara anak, observasi berupa pengamatan langsung terhadap objek penelitian, serta studi dokumen berupa pemeriksaan dokumen resmi di lokasi penelitian, termasuk data rekapitulasi perkara pada Sistem Informasi Penelusuran Perkara.</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penetapan diterbitkan, penelusuran diarahkan pada teks undang-undang beserta ketentuan peralihannya, bukan pada tulisan populer, agar setiap pernyataan mengenai keberlakuan norma dapat diverifikasi sumbernya. Keterangan hasil wawancara diperlakukan sebagai data yang memperkaya pembacaan atas dokumen, bukan sebagai pengganti teks penetapan.</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Analisis dilakukan secara kualitatif normatif dan diuraikan secara deskriptif, yaitu memberikan gambaran mengenai subjek dan objek penelitian, kemudian menginterpretasikan data dalam kalimat yang disusun secara logis dan sistematis sehingga diperoleh kesimpulan yang bersifat deduktif.</w:t>
      </w:r>
    </w:p>
    <w:p>
      <w:pPr>
        <w:pStyle w:val="IEEEParagraph"/>
        <w:ind w:left="567" w:right="322" w:firstLine="567"/>
        <w:rPr>
          <w:rFonts w:ascii="Segoe UI" w:hAnsi="Segoe UI" w:cs="Segoe UI"/>
          <w:sz w:val="22"/>
          <w:szCs w:val="22"/>
        </w:rPr>
      </w:pPr>
      <w:r>
        <w:rPr>
          <w:rFonts w:ascii="Segoe UI" w:hAnsi="Segoe UI" w:cs="Segoe UI"/>
          <w:sz w:val="22"/>
          <w:szCs w:val="22"/>
        </w:rPr>
        <w:t xml:space="preserve">Analisis ditempuh melalui tiga langkah yang bersesuaian dengan rumusan masalah. Pertama, rekonstruksi jalannya proses diversi dari penunjukan hakim anak sampai terbitnya penetapan kesepakatan, untuk menilai implementasi keadilan restoratif tidak hanya pada produk formalnya. Kedua, penyandingan setiap klausul kesepakatan dengan prinsip keadilan restoratif beserta dasar normatifnya, untuk menilai kesesuaian. Ketiga, identifikasi faktor yang memengaruhi efektivitas dengan memadukan temuan dokumen dan keterangan lapangan.</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isi kesepakatan dilacak kembali pada teks penetapan sehingga tidak ada klausul yang ditambahkan dari luar dokumen. Kedua, setiap penilaian atas keberhasilan penerapan diuji dengan menyandingkannya pada pandangan yang berbeda, khususnya pandangan yang mengingatkan risiko keadilan restoratif berubah menjadi penyelesaian yang bersifat transaksional, agar argumentasi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penetapan diversi sehingga tidak dimaksudkan menggeneralisasi praktik peradilan pidana anak secara nasional; nilai penelitian terletak pada kedalaman analisis terhadap satu perkara yang berhasil diselesaikan secara restoratif. Penelitian ini juga tidak mengukur tingkat pengulangan perbuatan sesudah diversi maupun dampak psikologis jangka panjang bagi para pihak, sebab pengukuran demikian menuntut rancangan penelitian yang berbeda. Identitas anak pelaku dan anak korban tidak diungkapkan sesuai prinsip perlindungan anak. Penilaian terhadap praktik keikutsertaan aparat dalam pemenuhan kesepakatan pun dibatasi pada implikasi kelembagaan dan kebijakannya, bukan pada penilaian terhadap pribadi aparat yang bersangkutan.</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tiga rumusan masalah. Subbagian 3.1 menganalisis implementasi keadilan restoratif dalam proses diversi, subbagian 3.2 menilai kesesuaiannya dengan kerangka normatif yang berlaku, dan subbagian 3.3 mengidentifikasi faktor yang memengaruhi efektivitasnya.</w:t>
      </w:r>
    </w:p>
    <w:p>
      <w:pPr>
        <w:pStyle w:val="IEEEParagraph"/>
        <w:ind w:left="567" w:right="322"/>
      </w:pPr>
    </w:p>
    <w:p>
      <w:pPr>
        <w:pStyle w:val="Heading2"/>
        <w:ind w:right="322"/>
        <w:rPr>
          <w:rStyle w:val="mediumtext"/>
        </w:rPr>
      </w:pPr>
      <w:r>
        <w:rPr>
          <w:rStyle w:val="mediumtext"/>
        </w:rPr>
        <w:t xml:space="preserve">3.1 Implementasi Keadilan Restoratif dalam Proses Diversi</w:t>
      </w:r>
    </w:p>
    <w:p>
      <w:pPr>
        <w:pStyle w:val="IEEEParagraph"/>
        <w:ind w:left="567" w:right="322" w:firstLine="567"/>
        <w:rPr>
          <w:rFonts w:ascii="Segoe UI" w:hAnsi="Segoe UI" w:cs="Segoe UI"/>
          <w:sz w:val="22"/>
          <w:szCs w:val="22"/>
        </w:rPr>
      </w:pPr>
      <w:r>
        <w:rPr>
          <w:rFonts w:ascii="Segoe UI" w:hAnsi="Segoe UI" w:cs="Segoe UI"/>
          <w:sz w:val="22"/>
          <w:szCs w:val="22"/>
        </w:rPr>
        <w:t xml:space="preserve">Proses diversi berjalan melalui tahapan yang tertata. Ketua pengadilan menunjuk hakim anak, yaitu hakim bersertifikat pendidikan dan pelatihan sistem peradilan pidana anak atau berpengalaman menangani perkara anak. Hakim anak menilai terpenuhinya syarat diversi dan menetapkan hari musyawarah sebagaimana diamanatkan Pasal 53 ayat (2) Undang-Undang Nomor 11 Tahun 2012 juncto Peraturan Mahkamah Agung Nomor 4 Tahun 2014, yang mewajibkan hakim mengupayakan diversi paling lama tujuh hari sesudah penetapan. Penunjukan hakim bersertifikat memperlihatkan prinsip diferensiasi dalam penanganan perkara anak (Gultom, 2014).</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Persiapan yang dilakukan fasilitator tidak berhenti pada aspek administratif. Hakim anak mempelajari berkas secara utuh, melakukan pemetaan, dan menyiapkan teknik pembingkaian ulang yang akan digunakan dalam musyawarah, sekaligus mengidentifikasi keadaan yang berpotensi menimbulkan reviktimisasi maupun relasi kuasa yang timpang. Ruang musyawarah pun disiapkan mengikuti pedoman standar sarana pengadilan anak, yang antara lain menentukan bahwa kursi fasilitator diletakkan di antara semua unsur yang hadir tanpa pembedaan. Ketentuan yang tampak teknis itu sesungguhnya bermakna prinsipiil: fasilitator tidak ditempatkan secara hierarkis lebih tinggi dan tidak berperan sebagai pihak yang memutus, sehingga kesepakatan yang lahir tidak bersumber pada tekanan.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Dalam musyawarah, fasilitator menerapkan dua teknik. Pembingkaian ulang dipakai ketika keluarga korban menghendaki agar anak dihukum seberat-beratnya; fasilitator menanyakan apa yang diharapkan sesudah penghukuman itu dan apakah penghukuman tersebut dapat memulihkan kerugian mereka. Kaukus dipakai berupa pertemuan terpisah dengan masing-masing pihak untuk menggali kepentingan inti yang tidak dapat diungkapkan di forum bersama. Keduanya sejalan dengan peran fasilitator yang bukan pengambil keputusan melainkan pendorong para pihak menemukan bentuk pemulihan yang dibutuhkan (Zehr, 1990).</w:t>
      </w:r>
    </w:p>
    <w:p>
      <w:pPr>
        <w:pStyle w:val="IEEEParagraph"/>
        <w:ind w:left="567" w:right="322" w:firstLine="567"/>
        <w:rPr>
          <w:rFonts w:ascii="Segoe UI" w:hAnsi="Segoe UI" w:cs="Segoe UI"/>
          <w:sz w:val="22"/>
          <w:szCs w:val="22"/>
        </w:rPr>
      </w:pPr>
      <w:r>
        <w:rPr>
          <w:rFonts w:ascii="Segoe UI" w:hAnsi="Segoe UI" w:cs="Segoe UI"/>
          <w:sz w:val="22"/>
          <w:szCs w:val="22"/>
        </w:rPr>
        <w:t xml:space="preserve">Fasilitator kemudian menghadapi keadaan yang khas pada perkara ini. Perbuatan anak mengakibatkan anak korban kehilangan nyawa, sehingga fokus pemulihan bergeser dari korban kepada keluarga yang ditinggalkan. Berdasarkan musyawarah, keluarga korban menyatakan bahwa kerugian yang timbul secara rasional tidak dapat digantikan oleh tindakan apa pun, namun kelanjutan kehidupan keluarga yang ditinggalkan tetap penting diperhatikan. Atas dasar itulah bentuk pemulihan yang disepakati bersifat materiil. Tabel 1 menyarikan isi kesepakatan beserta pihak yang memenuhinya.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Isi Kesepakatan Diversi dan Pihak yang Memenuhi Nilai Pemulihan</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150"/>
        <w:gridCol w:w="3400"/>
        <w:gridCol w:w="2600"/>
        <w:gridCol w:w="1876"/>
      </w:tblGrid>
      <w:tr>
        <w:trPr>
          <w:cantSplit/>
          <w:tblHeader/>
        </w:trPr>
        <w:tc>
          <w:tcPr>
            <w:tcW w:w="11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Klausul</w:t>
            </w:r>
          </w:p>
        </w:tc>
        <w:tc>
          <w:tcPr>
            <w:tcW w:w="34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Substansi Kesepakatan</w:t>
            </w:r>
          </w:p>
        </w:tc>
        <w:tc>
          <w:tcPr>
            <w:tcW w:w="26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Pihak yang Memenuhi</w:t>
            </w:r>
          </w:p>
        </w:tc>
        <w:tc>
          <w:tcPr>
            <w:tcW w:w="187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Nilai</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1</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Para pihak sepakat mengakhiri perkara melalui diversi</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Para pihak</w:t>
            </w:r>
          </w:p>
        </w:tc>
        <w:tc>
          <w:tcPr>
            <w:tcW w:w="18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2</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Permintaan maaf, penyesalan, dan janji tidak mengulangi perbuatan pidana</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Anak pelaku</w:t>
            </w:r>
          </w:p>
        </w:tc>
        <w:tc>
          <w:tcPr>
            <w:tcW w:w="18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3</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Pemberian uang duka kepada keluarga korban</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Anak pelaku dan keluarganya</w:t>
            </w:r>
          </w:p>
        </w:tc>
        <w:tc>
          <w:tcPr>
            <w:tcW w:w="18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Rp7.000.000,00</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3</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Pembelian sepeda motor milik anak korban karena menimbulkan trauma</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Anak pelaku dan keluarganya</w:t>
            </w:r>
          </w:p>
        </w:tc>
        <w:tc>
          <w:tcPr>
            <w:tcW w:w="18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Rp4.000.000,00</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5</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Bantuan pemenuhan pembelian sepeda motor</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Panitera pengganti, penuntut umum, dan penasihat hukum anak</w:t>
            </w:r>
          </w:p>
        </w:tc>
        <w:tc>
          <w:tcPr>
            <w:tcW w:w="18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Rp500.000,00 masing-masing</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Penetapan Pengadilan Negeri Bulukumba Nomor 12/Pen.Div/2025/PN Blk jo. Nomor 9/Pid.Sus-Anak/2025/PN Blk (2025)</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Tabel 1 memperlihatkan tiga hal yang menandai keberhasilan penerapan keadilan restoratif dalam perkara ini. Pertama, fokus pemulihan diperluas tidak terbatas pada korban melainkan mencakup keluarga korban, sesuai dengan laporan pekerja sosial yang menguraikan kebutuhan nyata pihak yang ditinggalkan. Kedua, anak pelaku diberi kesempatan berperan aktif dengan menyadari kesalahannya dan bertanggung jawab memulihkan kerugian, sehingga diversi tidak menghapus kesalahan melainkan memindahkan bentuk pertanggungjawabannya. Ketiga, subjek yang bertanggung jawab diperluas melampaui anak pelaku.</w:t>
      </w:r>
    </w:p>
    <w:p>
      <w:pPr>
        <w:pStyle w:val="IEEEParagraph"/>
        <w:ind w:left="567" w:right="322" w:firstLine="567"/>
        <w:rPr>
          <w:rFonts w:ascii="Segoe UI" w:hAnsi="Segoe UI" w:cs="Segoe UI"/>
          <w:sz w:val="22"/>
          <w:szCs w:val="22"/>
        </w:rPr>
      </w:pPr>
      <w:r>
        <w:rPr>
          <w:rFonts w:ascii="Segoe UI" w:hAnsi="Segoe UI" w:cs="Segoe UI"/>
          <w:sz w:val="22"/>
          <w:szCs w:val="22"/>
        </w:rPr>
        <w:t xml:space="preserve">Perluasan ketiga itulah yang paling menarik perhatian sekaligus paling menuntut kehati-hatian. Dalam uraian proses disebutkan bahwa fasilitator turut memberikan bantuan materi, sedangkan klausul Pasal 5 kesepakatan mencantumkan kesediaan panitera pengganti, penuntut umum, dan penasihat hukum anak masing-masing membantu pemenuhan pembelian sepeda motor. Praktik demikian dapat dibaca secara filosofis sebagai pengakuan bahwa kejahatan tidak hanya merusak hubungan antarindividu melainkan juga merusak tatanan masyarakat, sehingga pemulihannya menjadi urusan bersama.</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demikian, posisi penulis bersifat berimbang. Keikutsertaan aparat penegak hukum dalam membiayai kesepakatan menyimpan dua persoalan yang perlu dikemukakan secara terbuka. Pertama, dari sudut kelembagaan, fasilitator dalam diversi adalah hakim yang sekaligus mengesahkan kesepakatan melalui penetapan; keterlibatannya sebagai penyumbang dana berpotensi menimbulkan pertanyaan mengenai kemandirian penilaian atas kelayakan kesepakatan tersebut. Kedua, dari sudut keberlanjutan, praktik itu bersifat sukarela dan bergantung pada kepekaan orang per orang, sehingga tidak dapat diandalkan sebagai mekanisme.</w:t>
      </w:r>
    </w:p>
    <w:p>
      <w:pPr>
        <w:pStyle w:val="IEEEParagraph"/>
        <w:ind w:left="567" w:right="322" w:firstLine="567"/>
        <w:rPr>
          <w:rFonts w:ascii="Segoe UI" w:hAnsi="Segoe UI" w:cs="Segoe UI"/>
          <w:sz w:val="22"/>
          <w:szCs w:val="22"/>
        </w:rPr>
      </w:pPr>
      <w:r>
        <w:rPr>
          <w:rFonts w:ascii="Segoe UI" w:hAnsi="Segoe UI" w:cs="Segoe UI"/>
          <w:sz w:val="22"/>
          <w:szCs w:val="22"/>
        </w:rPr>
        <w:t xml:space="preserve">Justru pada titik itulah tersingkap temuan yang lebih mendasar. Turut sertanya aparat membiayai pemulihan menunjukkan bahwa nilai yang disepakati berada di luar jangkauan kemampuan keluarga anak, sementara negara tidak menyediakan mekanisme yang menjembatani kesenjangan tersebut. Secara yuridis, Indonesia sesungguhnya telah mengenal pengaturan mengenai restitusi bagi anak yang menjadi korban tindak pidana melalui Peraturan Pemerintah Nomor 43 Tahun 2017, namun mekanisme itu tidak dirancang untuk menopang pemenuhan kesepakatan diversi ketika keluarga anak pelaku tidak mampu. Akibatnya, keberhasilan diversi pada perkara yang menuntut pemulihan materiil masih bergantung pada kemampuan ekonomi para pihak.</w:t>
      </w:r>
    </w:p>
    <w:p>
      <w:pPr>
        <w:pStyle w:val="IEEEParagraph"/>
        <w:ind w:left="567" w:right="322"/>
      </w:pPr>
    </w:p>
    <w:p>
      <w:pPr>
        <w:pStyle w:val="Heading2"/>
        <w:ind w:right="322"/>
        <w:rPr>
          <w:rStyle w:val="mediumtext"/>
        </w:rPr>
      </w:pPr>
      <w:r>
        <w:rPr>
          <w:rStyle w:val="mediumtext"/>
        </w:rPr>
        <w:t xml:space="preserve">3.2 Kesesuaian dengan Kerangka Normatif dan Arah Pembaruan Hukum Pidana</w:t>
      </w:r>
    </w:p>
    <w:p>
      <w:pPr>
        <w:pStyle w:val="IEEEParagraph"/>
        <w:ind w:left="567" w:right="322" w:firstLine="567"/>
        <w:rPr>
          <w:rFonts w:ascii="Segoe UI" w:hAnsi="Segoe UI" w:cs="Segoe UI"/>
          <w:sz w:val="22"/>
          <w:szCs w:val="22"/>
        </w:rPr>
      </w:pPr>
      <w:r>
        <w:rPr>
          <w:rFonts w:ascii="Segoe UI" w:hAnsi="Segoe UI" w:cs="Segoe UI"/>
          <w:sz w:val="22"/>
          <w:szCs w:val="22"/>
        </w:rPr>
        <w:t xml:space="preserve">Undang-Undang Nomor 11 Tahun 2012 mewajibkan sistem peradilan pidana anak mengutamakan pendekatan keadilan restoratif melalui Pasal 5 ayat (1), dan Pasal 6 menetapkan tujuan diversi berupa pencapaian perdamaian antara korban dan anak, penyelesaian perkara di luar proses peradilan, penghindaran anak dari perampasan kemerdekaan, pelibatan masyarakat, serta penanaman rasa tanggung jawab pada anak. Peraturan Mahkamah Agung Nomor 1 Tahun 2024 kemudian memperluas pendekatan restoratif ke seluruh perkara pidana dan menegaskan asas-asasnya, yaitu pemulihan korban, penguatan hak korban, akuntabilitas terdakwa, pidana sebagai upaya terakhir, kesukarelaan, serta transparansi. Tabel 2 menyandingkan prinsip-prinsip tersebut dengan wujudnya dalam penetapan yang dikaji.</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Prinsip Keadilan Restoratif, Dasar Normatif, dan Wujudnya dalam Penetapan</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200"/>
        <w:gridCol w:w="2900"/>
        <w:gridCol w:w="3926"/>
      </w:tblGrid>
      <w:tr>
        <w:trPr>
          <w:cantSplit/>
          <w:tblHeader/>
        </w:trPr>
        <w:tc>
          <w:tcPr>
            <w:tcW w:w="2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Prinsip</w:t>
            </w:r>
          </w:p>
        </w:tc>
        <w:tc>
          <w:tcPr>
            <w:tcW w:w="2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Dasar Normatif</w:t>
            </w:r>
          </w:p>
        </w:tc>
        <w:tc>
          <w:tcPr>
            <w:tcW w:w="39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Wujud dalam Penetapan</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Pemulihan kerugian korban</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1 angka 6 dan Pasal 6 UU No. 11 Tahun 2012</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Uang duka dan pembelian sepeda motor anak korban pada Pasal 3 kesepakatan</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Partisipasi para pihak</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8 UU No. 11 Tahun 2012 dan Perma No. 4 Tahun 2014</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Kehadiran anak dan orang tuanya, keluarga korban, pembimbing kemasyarakatan, serta pekerja sosial profesional</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Pengakuan tanggung jawab pelaku</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Perma No. 1 Tahun 2024</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Permintaan maaf, penyesalan, dan janji tidak mengulangi pada Pasal 2 kesepakatan</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Kesukarelaan</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Perma No. 1 Tahun 2024</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Kesepakatan dinyatakan lahir tanpa paksaan, kekeliruan, maupun penipuan</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sebagai upaya terakhir</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5 ayat (1) UU No. 11 Tahun 2012</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Perkara hanya dilanjutkan ke persidangan apabila kesepakatan tidak dipenuhi</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Penghindaran stigmatisasi dan perampasan kemerdekaan</w:t>
            </w:r>
          </w:p>
        </w:tc>
        <w:tc>
          <w:tcPr>
            <w:tcW w:w="2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6 UU No. 11 Tahun 2012</w:t>
            </w:r>
          </w:p>
        </w:tc>
        <w:tc>
          <w:tcPr>
            <w:tcW w:w="39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Penyelesaian di luar proses pemidanaan dan penyelenggaraan musyawarah dalam ruang diversi ramah anak</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Penetapan Pengadilan Negeri Bulukumba Nomor 12/Pen.Div/2025/PN Blk jo. Nomor 9/Pid.Sus-Anak/2025/PN Blk (2025), UU No. 11 Tahun 2012, Perma No. 4 Tahun 2014, dan Perma No. 1 Tahun 2024</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Tabel 2 memperlihatkan kesesuaian yang menyeluruh antara penetapan dan kerangka normatif yang berlaku. Yang perlu ditegaskan adalah bahwa kesesuaian itu tidak hanya bersifat formal. Prinsip kesukarelaan, misalnya, tidak sekadar dinyatakan dalam klausul melainkan ditopang oleh penataan ruang yang menempatkan fasilitator sejajar dengan para pihak dan oleh penggunaan kaukus yang memungkinkan kepentingan sejati terungkap. Demikian pula prinsip partisipasi, yang diwujudkan melalui peran pekerja sosial dalam menguraikan kerugian dan kebutuhan pemulihan keluarga korban sehingga berfungsi sebagai penyeimbang dalam negosiasi.</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Penerapan tersebut juga selaras dengan arah pembaruan hukum pidana nasional, yaitu pergeseran dari orientasi pembalasan menuju pemulihan, humanisasi yang menempatkan anak sebagai subjek yang masih dapat dibina, individualisasi yang mempertimbangkan usia dan keadaan sosialnya, reintegrasi sosial, serta penempatan pidana sebagai upaya terakhir. Arah itu kini bertumpu pada landasan yang lebih kuat, sebab Undang-Undang Nomor 1 Tahun 2023 merumuskan tujuan pemidanaan yang mencakup penyelesaian konflik dan pemulihan keseimbangan, sementara Undang-Undang Nomor 20 Tahun 2025 memberi tempat pada mekanisme keadilan restoratif dalam hukum acara pidana umum, dengan kerangka khusus bagi anak tetap berlaku sebagai </w:t>
      </w:r>
      <w:r>
        <w:rPr>
          <w:rFonts w:ascii="Segoe UI" w:hAnsi="Segoe UI" w:cs="Segoe UI"/>
          <w:sz w:val="22"/>
          <w:szCs w:val="22"/>
          <w:i/>
          <w:iCs/>
        </w:rPr>
        <w:t xml:space="preserve">lex specialis</w:t>
      </w:r>
      <w:r>
        <w:rPr>
          <w:rFonts w:ascii="Segoe UI" w:hAnsi="Segoe UI" w:cs="Segoe UI"/>
          <w:sz w:val="22"/>
          <w:szCs w:val="22"/>
        </w:rPr>
        <w:t xml:space="preserve"> (Arief, 2011).</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demikian, terdapat celah yang perlu dicatat secara jujur. Diversi bersifat wajib diupayakan hanya bagi tindak pidana dengan ancaman pidana di bawah tujuh tahun dan bukan pengulangan, sehingga anak yang berhadapan dengan perkara di luar kriteria itu tidak terjangkau pola restoratif. Selain itu, tidak terdapat ketentuan yang mengatur akibat hukum apabila upaya diversi tidak sungguh-sungguh dilakukan, sehingga kewajiban mengupayakan diversi berisiko dipahami sebagai kewajiban administratif belaka (Wahyudi, 2011). Celah terakhir, dan yang paling relevan dengan temuan penelitian ini, adalah tidak adanya pengaturan mengenai sumber pembiayaan pemulihan ketika keluarga anak tidak mampu.</w:t>
      </w:r>
    </w:p>
    <w:p>
      <w:pPr>
        <w:pStyle w:val="IEEEParagraph"/>
        <w:ind w:left="567" w:right="322"/>
      </w:pPr>
    </w:p>
    <w:p>
      <w:pPr>
        <w:pStyle w:val="Heading2"/>
        <w:ind w:right="322"/>
        <w:rPr>
          <w:rStyle w:val="mediumtext"/>
        </w:rPr>
      </w:pPr>
      <w:r>
        <w:rPr>
          <w:rStyle w:val="mediumtext"/>
        </w:rPr>
        <w:t xml:space="preserve">3.3 Faktor yang Memengaruhi Efektivitas Implementasi</w:t>
      </w:r>
    </w:p>
    <w:p>
      <w:pPr>
        <w:pStyle w:val="IEEEParagraph"/>
        <w:ind w:left="567" w:right="322" w:firstLine="567"/>
        <w:rPr>
          <w:rFonts w:ascii="Segoe UI" w:hAnsi="Segoe UI" w:cs="Segoe UI"/>
          <w:sz w:val="22"/>
          <w:szCs w:val="22"/>
        </w:rPr>
      </w:pPr>
      <w:r>
        <w:rPr>
          <w:rFonts w:ascii="Segoe UI" w:hAnsi="Segoe UI" w:cs="Segoe UI"/>
          <w:sz w:val="22"/>
          <w:szCs w:val="22"/>
        </w:rPr>
        <w:t xml:space="preserve">Efektivitas penerapan keadilan restoratif tidak ditentukan oleh normanya semata. Penegakan hukum dipengaruhi oleh faktor hukumnya sendiri, aparat penegak hukum, sarana dan fasilitas, masyarakat, serta kebudayaan (Soekanto, 2014). Kerangka itu terbukti bekerja dalam perkara yang dikaji. Pada faktor hukum, kewajiban mengupayakan diversi tidak disertai akibat hukum apabila diabaikan, sementara penanganan perkara lalu lintas yang bercorak cepat berpotensi tidak sejalan dengan kebutuhan waktu bagi musyawarah yang bermakna. Pada faktor aparat, keberhasilan perkara ini justru bertumpu pada hakim bersertifikat yang menguasai teknik pemetaan, pembingkaian ulang, dan kaukus, sehingga keterampilan fasilitator terbukti menentukan.</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faktor sarana, penyediaan ruang diversi yang ramah anak memberi sumbangan nyata, sebab penataan ruang turut menentukan apakah para pihak merasa setara. Pada faktor masyarakat dan kebudayaan, hambatan justru paling terasa. Keterangan hakim yang diwawancarai memperlihatkan tiga hambatan yang berulang: perkara yang sampai ke persidangan umumnya merupakan perkara yang upaya restoratifnya telah gagal pada tahap penyidikan dan penuntutan; keadilan restoratif kerap dipahami secara transaksional seolah-olah hanya tercapai dengan pembayaran sejumlah uang; dan sebagian masyarakat masih memandang keadilan hanya terwujud apabila pelaku dipidana.</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hambatan kedua dan temuan mengenai pendanaan pemulihan pada subbagian 3.1 merupakan dua sisi dari persoalan yang sama. Ketika bentuk pemulihan yang tersedia hanya bersifat materiil, keadilan restoratif memang mudah tergelincir menjadi transaksi, dan anak dari keluarga tidak mampu berisiko kehilangan akses terhadap penyelesaian restoratif bukan karena perbuatannya lebih berat, melainkan karena keluarganya tidak sanggup membayar. Perkara yang dikaji berhasil justru karena kesenjangan itu ditambal secara sukarela oleh aparat, suatu jalan keluar yang mulia tetapi tidak dapat dijadikan sandaran kebijakan.</w:t>
      </w:r>
    </w:p>
    <w:p>
      <w:pPr>
        <w:pStyle w:val="IEEEParagraph"/>
        <w:ind w:left="567" w:right="322" w:firstLine="567"/>
        <w:rPr>
          <w:rFonts w:ascii="Segoe UI" w:hAnsi="Segoe UI" w:cs="Segoe UI"/>
          <w:sz w:val="22"/>
          <w:szCs w:val="22"/>
        </w:rPr>
      </w:pPr>
      <w:r>
        <w:rPr>
          <w:rFonts w:ascii="Segoe UI" w:hAnsi="Segoe UI" w:cs="Segoe UI"/>
          <w:sz w:val="22"/>
          <w:szCs w:val="22"/>
        </w:rPr>
        <w:t xml:space="preserve">Faktor lain memperkuat gambaran tersebut. Keterlibatan aktif keluarga kedua belah pihak menentukan tercapainya kesepakatan; karakteristik anak berupa usia, kematangan, dan rekam jejak menentukan tersedianya jalur diversi; sedangkan keadaan geografis dan ketersediaan layanan pendukung memengaruhi kualitas pemulihan. Tanpa pendampingan psikososial, penyelesaian berisiko berhenti pada dimensi materiil dan tidak menyentuh pemulihan psikologis para pihak.</w:t>
      </w:r>
    </w:p>
    <w:p>
      <w:pPr>
        <w:pStyle w:val="IEEEParagraph"/>
        <w:ind w:left="567" w:right="322" w:firstLine="567"/>
        <w:rPr>
          <w:rFonts w:ascii="Segoe UI" w:hAnsi="Segoe UI" w:cs="Segoe UI"/>
          <w:sz w:val="22"/>
          <w:szCs w:val="22"/>
        </w:rPr>
      </w:pPr>
      <w:r>
        <w:rPr>
          <w:rFonts w:ascii="Segoe UI" w:hAnsi="Segoe UI" w:cs="Segoe UI"/>
          <w:sz w:val="22"/>
          <w:szCs w:val="22"/>
        </w:rPr>
        <w:t xml:space="preserve">Temuan tersebut mengarahkan pada satu simpulan kebijakan. Penguatan keadilan restoratif dalam perkara anak tidak cukup ditempuh melalui perluasan norma, melainkan menuntut tersedianya tiga penopang sekaligus, yaitu peningkatan kapasitas fasilitator, penyediaan layanan pendukung psikososial, dan mekanisme pembiayaan pemulihan yang tidak bergantung pada kemampuan ekonomi keluarga anak maupun pada kemurahan hati aparat.</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Implementasi keadilan restoratif terhadap tindak pidana lalu lintas oleh anak dalam Penetapan Pengadilan Negeri Bulukumba Nomor 12/Pen.Div/2025/PN Blk juncto Nomor 9/Pid.Sus-Anak/2025/PN Blk telah terlaksana secara efektif, baik pada tataran produk hukum formal maupun pada praktik pelaksanaannya. Keberhasilan itu ditopang oleh penunjukan hakim anak bersertifikat, persiapan musyawarah yang mencakup pemetaan dan antisipasi terhadap risiko reviktimisasi, penataan ruang diversi yang menempatkan fasilitator sejajar dengan para pihak, serta penggunaan teknik pembingkaian ulang dan kaukus. Fokus pemulihan diperluas dari korban kepada keluarga yang ditinggalkan sesuai laporan pekerja sosial, dan anak pelaku memperoleh ruang untuk bertanggung jawab tanpa kehilangan pengakuan atas kesalahannya. Temuan yang paling menonjol adalah diperluasnya subjek yang memikul pemulihan hingga mencakup aparat penegak hukum yang menangani perkara.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Penerapan tersebut sesuai dengan prinsip keadilan restoratif dalam Undang-Undang Nomor 11 Tahun 2012 dan Peraturan Mahkamah Agung Nomor 1 Tahun 2024, meliputi pemulihan kerugian korban, partisipasi para pihak, pengakuan tanggung jawab pelaku, kesukarelaan, pidana sebagai upaya terakhir, serta penghindaran stigmatisasi dan perampasan kemerdekaan. Penerapan itu juga selaras dengan arah pembaruan hukum pidana nasional yang bergeser dari pembalasan menuju pemulihan dan reintegrasi sosial. Meskipun demikian, terdapat celah yang perlu dicatat, yaitu terbatasnya kewajiban diversi pada perkara dengan ancaman pidana tertentu, ketiadaan akibat hukum apabila upaya diversi tidak sungguh-sungguh dilakukan, serta tidak adanya pengaturan mengenai sumber pembiayaan pemulihan ketika keluarga anak tidak mampu.</w:t>
      </w:r>
    </w:p>
    <w:p>
      <w:pPr>
        <w:pStyle w:val="IEEEParagraph"/>
        <w:ind w:left="567" w:right="322" w:firstLine="567"/>
        <w:rPr>
          <w:rFonts w:ascii="Segoe UI" w:hAnsi="Segoe UI" w:cs="Segoe UI"/>
          <w:sz w:val="22"/>
          <w:szCs w:val="22"/>
        </w:rPr>
      </w:pPr>
      <w:r>
        <w:rPr>
          <w:rFonts w:ascii="Segoe UI" w:hAnsi="Segoe UI" w:cs="Segoe UI"/>
          <w:sz w:val="22"/>
          <w:szCs w:val="22"/>
        </w:rPr>
        <w:t xml:space="preserve">Efektivitas implementasi dipengaruhi oleh faktor hukum, kapasitas dan keterampilan aparat, sarana berupa ruang diversi yang ramah anak, pemahaman masyarakat, keterlibatan keluarga kedua belah pihak, sikap korban dan pelaku, keadaan ekonomi, keadaan geografis, serta ketersediaan layanan pendukung. Penelitian ini menemukan bahwa persepsi masyarakat yang memandang keadilan restoratif sebagai transaksi dan persoalan pembiayaan pemulihan merupakan dua sisi dari kesulitan yang sama, sehingga anak dari keluarga tidak mampu berisiko kehilangan akses terhadap penyelesaian restoratif bukan karena perbuatannya lebih berat melainkan karena keterbatasan ekonomi.</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pembentuk kebijakan menyediakan mekanisme pembiayaan pemulihan korban dalam perkara anak, misalnya melalui perluasan skema restitusi dan bantuan bagi anak yang berhadapan dengan hukum, agar keberhasilan diversi tidak bergantung pada kemampuan ekonomi keluarga maupun pada kesediaan aparat menyumbang secara pribadi. Aparat penegak hukum disarankan mengoptimalkan upaya restoratif sejak tahap penyidikan agar perkara anak tidak sampai ke persidangan dalam keadaan peluang perdamaiannya telah menipis, disertai pelatihan berkelanjutan mengenai teknik fasilitasi. Bagi masyarakat dan orang tua, diperlukan penguatan pemahaman bahwa keadilan restoratif bukan pembebasan pelaku dari tanggung jawab melainkan pengalihan bentuk pertanggungjawaban ke arah pemulihan. Adapun bagi pengembangan ilmu, penelitian lanjutan disarankan membandingkan pelaksanaan diversi pada beberapa pengadilan serta menelusuri secara khusus pola pembiayaan pemulihan dalam kesepakatan diversi.</w:t>
      </w:r>
    </w:p>
    <w:p>
      <w:pPr>
        <w:pStyle w:val="IEEEParagraph"/>
        <w:ind w:left="567" w:right="322" w:firstLine="567"/>
        <w:rPr>
          <w:rFonts w:ascii="Segoe UI" w:hAnsi="Segoe UI" w:cs="Segoe UI"/>
          <w:sz w:val="22"/>
          <w:szCs w:val="22"/>
        </w:rPr>
      </w:pPr>
      <w:r>
        <w:rPr>
          <w:rFonts w:ascii="Segoe UI" w:hAnsi="Segoe UI" w:cs="Segoe UI"/>
          <w:sz w:val="22"/>
          <w:szCs w:val="22"/>
        </w:rPr>
        <w:t xml:space="preserve">Akhirnya perlu ditegaskan bahwa catatan mengenai pembiayaan pemulihan tidak dimaksudkan mengurangi penghargaan atas keberhasilan perkara ini. Sebaliknya, justru keberhasilan itulah yang menyingkapkan apa yang selama ini belum disediakan negara.</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Arief, B. N. (2011). </w:t>
      </w:r>
      <w:r>
        <w:rPr>
          <w:rFonts w:cs="Segoe UI"/>
          <w:sz w:val="20"/>
          <w:szCs w:val="20"/>
          <w:i/>
          <w:iCs/>
        </w:rPr>
        <w:t xml:space="preserve">Bunga rampai kebijakan hukum pidana: Perkembangan penyusunan konsep KUHP baru</w:t>
      </w:r>
      <w:r>
        <w:rPr>
          <w:rFonts w:cs="Segoe UI"/>
          <w:sz w:val="20"/>
          <w:szCs w:val="20"/>
        </w:rPr>
        <w:t xml:space="preserve">. Kencana.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Gultom, M. (2014). </w:t>
      </w:r>
      <w:r>
        <w:rPr>
          <w:rFonts w:cs="Segoe UI"/>
          <w:sz w:val="20"/>
          <w:szCs w:val="20"/>
          <w:i/>
          <w:iCs/>
        </w:rPr>
        <w:t xml:space="preserve">Perlindungan hukum terhadap anak dalam sistem peradilan pidana anak di Indonesia</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Marlina. (2009). </w:t>
      </w:r>
      <w:r>
        <w:rPr>
          <w:rFonts w:cs="Segoe UI"/>
          <w:sz w:val="20"/>
          <w:szCs w:val="20"/>
          <w:i/>
          <w:iCs/>
        </w:rPr>
        <w:t xml:space="preserve">Peradilan pidana anak di Indonesia: Pengembangan konsep diversi dan restorative justice</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(2016). </w:t>
      </w:r>
      <w:r>
        <w:rPr>
          <w:rFonts w:cs="Segoe UI"/>
          <w:sz w:val="20"/>
          <w:szCs w:val="20"/>
          <w:i/>
          <w:iCs/>
        </w:rPr>
        <w:t xml:space="preserve">Penelitian hukum</w:t>
      </w:r>
      <w:r>
        <w:rPr>
          <w:rFonts w:cs="Segoe UI"/>
          <w:sz w:val="20"/>
          <w:szCs w:val="20"/>
        </w:rPr>
        <w:t xml:space="preserve">. Kencana.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Mulyadi, L. (2014). </w:t>
      </w:r>
      <w:r>
        <w:rPr>
          <w:rFonts w:cs="Segoe UI"/>
          <w:sz w:val="20"/>
          <w:szCs w:val="20"/>
          <w:i/>
          <w:iCs/>
        </w:rPr>
        <w:t xml:space="preserve">Wajah sistem peradilan pidana anak Indonesia</w:t>
      </w:r>
      <w:r>
        <w:rPr>
          <w:rFonts w:cs="Segoe UI"/>
          <w:sz w:val="20"/>
          <w:szCs w:val="20"/>
        </w:rPr>
        <w:t xml:space="preserve">. Alumni.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Sambas, N. (2010). </w:t>
      </w:r>
      <w:r>
        <w:rPr>
          <w:rFonts w:cs="Segoe UI"/>
          <w:sz w:val="20"/>
          <w:szCs w:val="20"/>
          <w:i/>
          <w:iCs/>
        </w:rPr>
        <w:t xml:space="preserve">Pembaruan sistem pemidanaan anak di Indonesia</w:t>
      </w:r>
      <w:r>
        <w:rPr>
          <w:rFonts w:cs="Segoe UI"/>
          <w:sz w:val="20"/>
          <w:szCs w:val="20"/>
        </w:rPr>
        <w:t xml:space="preserve">. Graha Ilmu.</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Soekanto, S. (2014). </w:t>
      </w:r>
      <w:r>
        <w:rPr>
          <w:rFonts w:cs="Segoe UI"/>
          <w:sz w:val="20"/>
          <w:szCs w:val="20"/>
          <w:i/>
          <w:iCs/>
        </w:rPr>
        <w:t xml:space="preserve">Faktor-faktor yang mempengaruhi penegakan hukum</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Wahyudi, S. (2011). </w:t>
      </w:r>
      <w:r>
        <w:rPr>
          <w:rFonts w:cs="Segoe UI"/>
          <w:sz w:val="20"/>
          <w:szCs w:val="20"/>
          <w:i/>
          <w:iCs/>
        </w:rPr>
        <w:t xml:space="preserve">Implementasi ide diversi dalam pembaruan sistem peradilan pidana anak di Indonesia</w:t>
      </w:r>
      <w:r>
        <w:rPr>
          <w:rFonts w:cs="Segoe UI"/>
          <w:sz w:val="20"/>
          <w:szCs w:val="20"/>
        </w:rPr>
        <w:t xml:space="preserve">. Genta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Zehr, H. (1990). </w:t>
      </w:r>
      <w:r>
        <w:rPr>
          <w:rFonts w:cs="Segoe UI"/>
          <w:sz w:val="20"/>
          <w:szCs w:val="20"/>
          <w:i/>
          <w:iCs/>
        </w:rPr>
        <w:t xml:space="preserve">Changing lenses: A new focus for crime and justice</w:t>
      </w:r>
      <w:r>
        <w:rPr>
          <w:rFonts w:cs="Segoe UI"/>
          <w:sz w:val="20"/>
          <w:szCs w:val="20"/>
        </w:rPr>
        <w:t xml:space="preserve">. Herald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Zulfa, E. A. (2009). </w:t>
      </w:r>
      <w:r>
        <w:rPr>
          <w:rFonts w:cs="Segoe UI"/>
          <w:sz w:val="20"/>
          <w:szCs w:val="20"/>
          <w:i/>
          <w:iCs/>
        </w:rPr>
        <w:t xml:space="preserve">Keadilan restoratif</w:t>
      </w:r>
      <w:r>
        <w:rPr>
          <w:rFonts w:cs="Segoe UI"/>
          <w:sz w:val="20"/>
          <w:szCs w:val="20"/>
        </w:rPr>
        <w:t xml:space="preserve">. Badan Penerbit Fakultas Hukum Universitas Indonesia.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Penetapan Pengadilan Negeri Bulukumba Nomor 12/Pen.Div/2025/PN Blk jo. Nomor 9/Pid.Sus-Anak/2025/PN Blk (2025).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Keputusan Direktur Jenderal Badan Peradilan Umum Nomor 2176/DJU/SK/PS01/12/2017 tentang Pedoman Standar Minimal Sarana dan Prasarana Pengadilan Anak.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Mahkamah Agung Republik Indonesia Nomor 4 Tahun 2014 tentang Pedoman Pelaksanaan Diversi dalam Sistem Peradilan Pidana Anak.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Mahkamah Agung Republik Indonesia Nomor 1 Tahun 2024 tentang Pedoman Mengadili Perkara Pidana Berdasarkan Keadilan Restoratif.</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Pemerintah Republik Indonesia Nomor 43 Tahun 2017 tentang Pelaksanaan Restitusi bagi Anak yang Menjadi Korban Tindak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Dasar Negara Republik Indonesia Tahun 1945.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22 Tahun 2009 tentang Lalu Lintas dan Angkutan Jalan.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11 Tahun 2012 tentang Sistem Peradilan Pidana Anak.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Maya Helena Eka Putri</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