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25CAE"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477A583A"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3B977AD1"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3D4F8449"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2E92AEA0" w14:textId="77777777" w:rsidR="0010607A" w:rsidRDefault="00886EB8" w:rsidP="00E109A4">
      <w:pPr>
        <w:spacing w:after="0" w:line="240" w:lineRule="auto"/>
        <w:jc w:val="center"/>
        <w:rPr>
          <w:rFonts w:cs="Segoe UI"/>
          <w:b/>
        </w:rPr>
      </w:pPr>
      <w:r>
        <w:rPr>
          <w:rFonts w:cs="Segoe UI"/>
          <w:b/>
        </w:rPr>
        <w:t>Universitas Kristen Indonesia Paulus</w:t>
      </w:r>
    </w:p>
    <w:p w14:paraId="4C41FC40"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1A771212"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FD08D0"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5A481051" w14:textId="49F612F6" w:rsidR="00676A1B" w:rsidRPr="00F131FE" w:rsidRDefault="00F131FE" w:rsidP="00100027">
      <w:pPr>
        <w:tabs>
          <w:tab w:val="right" w:pos="9026"/>
        </w:tabs>
        <w:spacing w:after="0" w:line="240" w:lineRule="auto"/>
        <w:jc w:val="center"/>
        <w:rPr>
          <w:rFonts w:cs="Segoe UI"/>
          <w:b/>
          <w:sz w:val="30"/>
          <w:szCs w:val="30"/>
          <w:lang w:val="sv-SE"/>
        </w:rPr>
      </w:pPr>
      <w:r w:rsidRPr="00F131FE">
        <w:rPr>
          <w:rFonts w:cs="Segoe UI"/>
          <w:b/>
          <w:bCs/>
          <w:sz w:val="30"/>
          <w:szCs w:val="30"/>
        </w:rPr>
        <w:t>Pertimbangan Hukum Hakim dalam Penggelapan dengan Pemberatan Berdasarkan Putusan PN Makassar Nomor 1339/Pid.B/2023/PN Mks</w:t>
      </w:r>
    </w:p>
    <w:p w14:paraId="19A6DDD4" w14:textId="77777777" w:rsidR="00100027" w:rsidRPr="00F131FE" w:rsidRDefault="00100027" w:rsidP="007677D4">
      <w:pPr>
        <w:tabs>
          <w:tab w:val="right" w:pos="9026"/>
        </w:tabs>
        <w:spacing w:after="0" w:line="240" w:lineRule="auto"/>
        <w:jc w:val="left"/>
        <w:rPr>
          <w:rFonts w:cs="Segoe UI"/>
          <w:i/>
          <w:sz w:val="24"/>
          <w:szCs w:val="20"/>
          <w:lang w:val="sv-SE"/>
        </w:rPr>
      </w:pPr>
    </w:p>
    <w:p w14:paraId="3198BECC" w14:textId="77777777" w:rsidR="00361A98" w:rsidRPr="00C676AF" w:rsidRDefault="00361A98" w:rsidP="00676A1B">
      <w:pPr>
        <w:tabs>
          <w:tab w:val="right" w:pos="9026"/>
        </w:tabs>
        <w:spacing w:after="0" w:line="240" w:lineRule="auto"/>
        <w:rPr>
          <w:rFonts w:cs="Segoe UI"/>
          <w:sz w:val="20"/>
          <w:szCs w:val="20"/>
        </w:rPr>
      </w:pPr>
    </w:p>
    <w:p w14:paraId="4BDC551A" w14:textId="0CA72A6E" w:rsidR="00AC334E" w:rsidRPr="00886EB8" w:rsidRDefault="00F131FE" w:rsidP="00C00D09">
      <w:pPr>
        <w:tabs>
          <w:tab w:val="right" w:pos="9026"/>
        </w:tabs>
        <w:spacing w:after="0" w:line="240" w:lineRule="auto"/>
        <w:rPr>
          <w:rFonts w:cs="Segoe UI"/>
          <w:b/>
          <w:bCs/>
          <w:sz w:val="24"/>
          <w:szCs w:val="24"/>
          <w:lang w:val="fi-FI"/>
        </w:rPr>
      </w:pPr>
      <w:proofErr w:type="spellStart"/>
      <w:r>
        <w:rPr>
          <w:rFonts w:cs="Segoe UI"/>
          <w:b/>
          <w:bCs/>
          <w:sz w:val="24"/>
          <w:szCs w:val="24"/>
          <w:lang w:val="fi-FI"/>
        </w:rPr>
        <w:t>Jumadil</w:t>
      </w:r>
      <w:proofErr w:type="spellEnd"/>
      <w:r>
        <w:rPr>
          <w:rFonts w:cs="Segoe UI"/>
          <w:b/>
          <w:bCs/>
          <w:sz w:val="24"/>
          <w:szCs w:val="24"/>
          <w:lang w:val="fi-FI"/>
        </w:rPr>
        <w:t xml:space="preserve"> Awal</w:t>
      </w:r>
      <w:r w:rsidR="001E0508">
        <w:rPr>
          <w:rFonts w:cs="Segoe UI"/>
          <w:b/>
          <w:bCs/>
          <w:sz w:val="24"/>
          <w:szCs w:val="24"/>
          <w:vertAlign w:val="superscript"/>
          <w:lang w:val="fi-FI"/>
        </w:rPr>
        <w:t>1</w:t>
      </w:r>
      <w:r w:rsidR="001E0508">
        <w:rPr>
          <w:rFonts w:cs="Segoe UI"/>
          <w:b/>
          <w:bCs/>
          <w:sz w:val="24"/>
          <w:szCs w:val="24"/>
          <w:lang w:val="fi-FI"/>
        </w:rPr>
        <w:t>*</w:t>
      </w:r>
    </w:p>
    <w:p w14:paraId="5EB99ABD"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11722BC4" w14:textId="47FDD5CE" w:rsidR="00BE12F5" w:rsidRPr="00024C64" w:rsidRDefault="00F131FE" w:rsidP="00241D17">
      <w:pPr>
        <w:tabs>
          <w:tab w:val="right" w:pos="9026"/>
        </w:tabs>
        <w:spacing w:after="0" w:line="240" w:lineRule="auto"/>
        <w:rPr>
          <w:rFonts w:cs="Segoe UI"/>
          <w:i/>
          <w:sz w:val="18"/>
          <w:szCs w:val="18"/>
          <w:lang w:val="sv-SE"/>
        </w:rPr>
      </w:pPr>
      <w:r w:rsidRPr="00024C64">
        <w:rPr>
          <w:rFonts w:cs="Segoe UI"/>
          <w:i/>
          <w:sz w:val="18"/>
          <w:szCs w:val="18"/>
          <w:lang w:val="sv-SE"/>
        </w:rPr>
        <w:t>jumadilawal</w:t>
      </w:r>
      <w:r w:rsidR="006F20C0" w:rsidRPr="00024C64">
        <w:rPr>
          <w:rFonts w:cs="Segoe UI"/>
          <w:i/>
          <w:sz w:val="18"/>
          <w:szCs w:val="18"/>
          <w:lang w:val="sv-SE"/>
        </w:rPr>
        <w:t>@ukipaulus.ac.id (</w:t>
      </w:r>
      <w:proofErr w:type="spellStart"/>
      <w:r w:rsidR="006F20C0" w:rsidRPr="00024C64">
        <w:rPr>
          <w:rFonts w:cs="Segoe UI"/>
          <w:i/>
          <w:sz w:val="18"/>
          <w:szCs w:val="18"/>
          <w:lang w:val="sv-SE"/>
        </w:rPr>
        <w:t>Korespondensi</w:t>
      </w:r>
      <w:proofErr w:type="spellEnd"/>
      <w:r w:rsidR="006F20C0" w:rsidRPr="00024C64">
        <w:rPr>
          <w:rFonts w:cs="Segoe UI"/>
          <w:i/>
          <w:sz w:val="18"/>
          <w:szCs w:val="18"/>
          <w:lang w:val="sv-SE"/>
        </w:rPr>
        <w:t>)*</w:t>
      </w:r>
    </w:p>
    <w:p w14:paraId="6405AF47" w14:textId="77777777" w:rsidR="006F20C0" w:rsidRPr="00024C64"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DF99D82" w14:textId="77777777" w:rsidTr="00550BFE">
        <w:trPr>
          <w:trHeight w:val="189"/>
        </w:trPr>
        <w:tc>
          <w:tcPr>
            <w:tcW w:w="1171" w:type="pct"/>
            <w:tcBorders>
              <w:top w:val="single" w:sz="4" w:space="0" w:color="auto"/>
              <w:bottom w:val="single" w:sz="4" w:space="0" w:color="auto"/>
            </w:tcBorders>
          </w:tcPr>
          <w:p w14:paraId="49223605"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407F47FD"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33B62C73" w14:textId="77777777" w:rsidTr="00550BFE">
        <w:trPr>
          <w:trHeight w:val="1678"/>
        </w:trPr>
        <w:tc>
          <w:tcPr>
            <w:tcW w:w="1171" w:type="pct"/>
            <w:tcBorders>
              <w:top w:val="single" w:sz="4" w:space="0" w:color="auto"/>
              <w:bottom w:val="single" w:sz="4" w:space="0" w:color="auto"/>
            </w:tcBorders>
          </w:tcPr>
          <w:p w14:paraId="1C1C73F2"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0A98DE2A" w14:textId="3C20E4B4" w:rsidR="00417363" w:rsidRDefault="00735944" w:rsidP="00886EB8">
            <w:pPr>
              <w:spacing w:after="0" w:line="240" w:lineRule="auto"/>
              <w:jc w:val="left"/>
              <w:rPr>
                <w:rFonts w:eastAsia="Times New Roman" w:cs="Segoe UI"/>
                <w:i/>
                <w:iCs/>
                <w:color w:val="181717"/>
                <w:sz w:val="20"/>
                <w:szCs w:val="20"/>
                <w:lang w:val="en-US"/>
              </w:rPr>
            </w:pPr>
            <w:r w:rsidRPr="00735944">
              <w:rPr>
                <w:rFonts w:eastAsia="Times New Roman" w:cs="Segoe UI"/>
                <w:i/>
                <w:iCs/>
                <w:color w:val="181717"/>
                <w:sz w:val="20"/>
                <w:szCs w:val="20"/>
              </w:rPr>
              <w:t>judicial considerations, embezzlement, embezzlement in office, Article 374 of the Indonesian Criminal Code, court decision, sentencing</w:t>
            </w:r>
          </w:p>
          <w:p w14:paraId="258F9D2B" w14:textId="77777777" w:rsidR="001E0508" w:rsidRPr="00332E82" w:rsidRDefault="001E0508" w:rsidP="00417363">
            <w:pPr>
              <w:spacing w:after="0" w:line="240" w:lineRule="auto"/>
              <w:rPr>
                <w:rFonts w:eastAsia="Times New Roman" w:cs="Segoe UI"/>
                <w:b/>
                <w:iCs/>
                <w:color w:val="181717"/>
                <w:sz w:val="20"/>
                <w:szCs w:val="20"/>
                <w:lang w:val="en-US"/>
              </w:rPr>
            </w:pPr>
          </w:p>
          <w:p w14:paraId="118D3F09"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72B7E986" w14:textId="077C2E96" w:rsidR="00241D17" w:rsidRPr="00C676AF" w:rsidRDefault="00735944" w:rsidP="00886EB8">
            <w:pPr>
              <w:spacing w:after="0" w:line="240" w:lineRule="auto"/>
              <w:jc w:val="left"/>
              <w:rPr>
                <w:rFonts w:eastAsia="Times New Roman" w:cs="Segoe UI"/>
                <w:i/>
                <w:color w:val="181717"/>
                <w:sz w:val="20"/>
                <w:szCs w:val="20"/>
              </w:rPr>
            </w:pPr>
            <w:r w:rsidRPr="00735944">
              <w:rPr>
                <w:rFonts w:eastAsia="Times New Roman" w:cs="Segoe UI"/>
                <w:iCs/>
                <w:color w:val="181717"/>
                <w:sz w:val="20"/>
                <w:szCs w:val="20"/>
              </w:rPr>
              <w:t>pertimbangan hakim, penggelapan, penggelapan dalam jabatan, Pasal 374 KUHP, putusan pengadilan, pemidanaan</w:t>
            </w:r>
          </w:p>
        </w:tc>
        <w:tc>
          <w:tcPr>
            <w:tcW w:w="3829" w:type="pct"/>
            <w:tcBorders>
              <w:top w:val="single" w:sz="4" w:space="0" w:color="auto"/>
              <w:bottom w:val="single" w:sz="4" w:space="0" w:color="auto"/>
            </w:tcBorders>
          </w:tcPr>
          <w:p w14:paraId="1486AECC" w14:textId="0A4133B3"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735944" w:rsidRPr="00735944">
              <w:rPr>
                <w:rFonts w:cs="Segoe UI"/>
                <w:i/>
                <w:iCs/>
                <w:color w:val="000000"/>
                <w:sz w:val="20"/>
                <w:szCs w:val="20"/>
                <w:shd w:val="clear" w:color="auto" w:fill="FFFFFF"/>
              </w:rPr>
              <w:t>This study aims to analyze the judge’s legal considerations in an aggravated embezzlement case based on Makassar District Court Decision Number 1339/Pid.B/2023/PN Mks and to examine the decision from the perspectives of legal certainty, justice, and utility. This study employs normative legal research using a legal case study approach. Data were obtained through library research and interviews and were analyzed qualitatively and descriptively. The findings indicate that the judge’s legal considerations in determining the defendant guilty of embezzlement in office were consistent with Article 374 of the Indonesian Criminal Code and the facts established during the trial. The defendant obtained control over company funds through his employment as a salesperson but failed to remit collected payments to the company, resulting in a financial loss of IDR 81,658,953. Although the legal basis for establishing the defendant’s criminal liability and the application of the relevant provision were adequate, the sentence of 1 year and 10 months of imprisonment was considered relatively light and was not optimal in fulfilling the principles of justice and utility, particularly in creating a deterrent effect. This study emphasizes the importance of balancing legal certainty, justice, and utility in criminal sentencing.</w:t>
            </w:r>
          </w:p>
          <w:p w14:paraId="0DEC77FE" w14:textId="77777777" w:rsidR="001E0508" w:rsidRPr="00C676AF" w:rsidRDefault="001E0508" w:rsidP="001E0508">
            <w:pPr>
              <w:spacing w:after="0" w:line="240" w:lineRule="auto"/>
              <w:rPr>
                <w:rFonts w:eastAsia="Times New Roman" w:cs="Segoe UI"/>
                <w:sz w:val="20"/>
                <w:szCs w:val="20"/>
              </w:rPr>
            </w:pPr>
          </w:p>
          <w:p w14:paraId="43C4015F" w14:textId="77777777" w:rsidR="00886EB8" w:rsidRDefault="00886EB8" w:rsidP="001E0508">
            <w:pPr>
              <w:spacing w:after="0" w:line="240" w:lineRule="auto"/>
              <w:rPr>
                <w:rFonts w:eastAsia="Times New Roman" w:cs="Segoe UI"/>
                <w:b/>
                <w:iCs/>
                <w:sz w:val="20"/>
                <w:szCs w:val="20"/>
              </w:rPr>
            </w:pPr>
          </w:p>
          <w:p w14:paraId="517578E5" w14:textId="23FE88D4"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735944" w:rsidRPr="00735944">
              <w:rPr>
                <w:rFonts w:cs="Segoe UI"/>
                <w:color w:val="000000"/>
                <w:sz w:val="20"/>
                <w:szCs w:val="20"/>
                <w:shd w:val="clear" w:color="auto" w:fill="FFFFFF"/>
              </w:rPr>
              <w:t>Penelitian ini bertujuan untuk menganalisis pertimbangan hukum hakim dalam perkara tindak pidana penggelapan dengan pemberatan berdasarkan Putusan Pengadilan Negeri Makassar Nomor 1339/Pid.B/2023/PN Mks serta menganalisis kesesuaian putusan tersebut dari perspektif kepastian hukum, keadilan, dan kemanfaatan. Penelitian ini merupakan penelitian hukum normatif dengan pendekatan studi kasus hukum (</w:t>
            </w:r>
            <w:r w:rsidR="00735944" w:rsidRPr="00735944">
              <w:rPr>
                <w:rFonts w:cs="Segoe UI"/>
                <w:i/>
                <w:iCs/>
                <w:color w:val="000000"/>
                <w:sz w:val="20"/>
                <w:szCs w:val="20"/>
                <w:shd w:val="clear" w:color="auto" w:fill="FFFFFF"/>
              </w:rPr>
              <w:t>Legal Case Study</w:t>
            </w:r>
            <w:r w:rsidR="00735944" w:rsidRPr="00735944">
              <w:rPr>
                <w:rFonts w:cs="Segoe UI"/>
                <w:color w:val="000000"/>
                <w:sz w:val="20"/>
                <w:szCs w:val="20"/>
                <w:shd w:val="clear" w:color="auto" w:fill="FFFFFF"/>
              </w:rPr>
              <w:t xml:space="preserve">). Data diperoleh melalui studi kepustakaan dan wawancara, kemudian dianalisis secara kualitatif dan deskriptif. Hasil penelitian menunjukkan bahwa pertimbangan hukum hakim dalam menyatakan terdakwa terbukti melakukan penggelapan dalam jabatan telah </w:t>
            </w:r>
            <w:r w:rsidR="00735944" w:rsidRPr="00735944">
              <w:rPr>
                <w:rFonts w:cs="Segoe UI"/>
                <w:color w:val="000000"/>
                <w:sz w:val="20"/>
                <w:szCs w:val="20"/>
                <w:shd w:val="clear" w:color="auto" w:fill="FFFFFF"/>
              </w:rPr>
              <w:lastRenderedPageBreak/>
              <w:t>sesuai dengan ketentuan Pasal 374 KUHP dan fakta-fakta yang terungkap di persidangan. Terdakwa memperoleh penguasaan terhadap uang perusahaan karena hubungan kerja sebagai sales, tetapi tidak menyerahkan hasil penagihan kepada perusahaan sehingga menimbulkan kerugian sebesar Rp81.658.953,00. Meskipun dasar pembuktian dan penerapan hukum dalam putusan telah memadai, pidana penjara selama 1 (satu) tahun 10 (sepuluh) bulan dinilai relatif ringan dan belum optimal dalam mewujudkan aspek keadilan dan kemanfaatan, khususnya dalam memberikan efek jera. Penelitian ini menegaskan pentingnya keseimbangan antara kepastian hukum, keadilan, dan kemanfaatan dalam penjatuhan pidana.</w:t>
            </w:r>
          </w:p>
          <w:p w14:paraId="22ABCBCD" w14:textId="77777777" w:rsidR="001E0508" w:rsidRPr="00F131FE" w:rsidRDefault="001E0508" w:rsidP="001E0508">
            <w:pPr>
              <w:spacing w:after="0" w:line="240" w:lineRule="auto"/>
              <w:rPr>
                <w:rFonts w:eastAsia="Times New Roman" w:cs="Segoe UI"/>
                <w:iCs/>
                <w:sz w:val="20"/>
                <w:szCs w:val="20"/>
              </w:rPr>
            </w:pPr>
          </w:p>
        </w:tc>
      </w:tr>
      <w:tr w:rsidR="00241D17" w:rsidRPr="00C676AF" w14:paraId="555EF27B" w14:textId="77777777" w:rsidTr="00550BFE">
        <w:trPr>
          <w:trHeight w:val="161"/>
        </w:trPr>
        <w:tc>
          <w:tcPr>
            <w:tcW w:w="5000" w:type="pct"/>
            <w:gridSpan w:val="2"/>
            <w:tcBorders>
              <w:top w:val="single" w:sz="4" w:space="0" w:color="auto"/>
              <w:bottom w:val="single" w:sz="4" w:space="0" w:color="auto"/>
            </w:tcBorders>
          </w:tcPr>
          <w:p w14:paraId="6ED3FB5C"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36892E7A"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47C8D756" w14:textId="77777777" w:rsidR="001E0508" w:rsidRPr="001E0508" w:rsidRDefault="00E02EE7" w:rsidP="00E02EE7">
      <w:pPr>
        <w:pStyle w:val="Heading3"/>
        <w:ind w:firstLine="66"/>
      </w:pPr>
      <w:r>
        <w:t>PENDAHULUAN</w:t>
      </w:r>
    </w:p>
    <w:p w14:paraId="39F786B8" w14:textId="0046DB36" w:rsidR="00F131FE"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 xml:space="preserve">Perkembangan transaksi perdagangan dan layanan pengiriman barang telah membawa perubahan dalam pola hubungan ekonomi masyarakat. Kehadiran perusahaan jasa ekspedisi semakin dibutuhkan seiring meningkatnya aktivitas perdagangan dan transaksi secara daring. Dalam perkembangannya, sistem pembayaran </w:t>
      </w:r>
      <w:r w:rsidRPr="00F131FE">
        <w:rPr>
          <w:rFonts w:ascii="Segoe UI" w:hAnsi="Segoe UI" w:cs="Segoe UI"/>
          <w:i/>
          <w:iCs/>
          <w:sz w:val="22"/>
          <w:szCs w:val="22"/>
          <w:lang w:val="id-ID"/>
        </w:rPr>
        <w:t>cash on delivery</w:t>
      </w:r>
      <w:r w:rsidRPr="00F131FE">
        <w:rPr>
          <w:rFonts w:ascii="Segoe UI" w:hAnsi="Segoe UI" w:cs="Segoe UI"/>
          <w:sz w:val="22"/>
          <w:szCs w:val="22"/>
          <w:lang w:val="id-ID"/>
        </w:rPr>
        <w:t xml:space="preserve"> (COD) menjadi salah satu metode yang banyak digunakan karena memungkinkan konsumen melakukan pembayaran setelah barang diterima. Namun, mekanisme tersebut juga membuka kemungkinan terjadinya penyimpangan dalam proses penguasaan, penerimaan, dan penyerahan uang maupun barang yang pada kondisi tertentu dapat berkembang menjadi tindak pidana. Tugas Akhir Jumadil Awal menunjukkan bahwa perkembangan layanan pengiriman dan penggunaan COD menjadi salah satu konteks yang melatarbelakangi terjadinya perkara penggelapan yang diteliti.</w:t>
      </w:r>
    </w:p>
    <w:p w14:paraId="288CB52F" w14:textId="342C79AC" w:rsidR="00F131FE"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Penggelapan merupakan salah satu bentuk tindak pidana terhadap harta benda yang pengaturannya dalam KUHP terdapat dalam Bab XXIV, khususnya Pasal 372 sampai dengan Pasal 377. Dalam praktiknya, tindak pidana penggelapan dapat terjadi ketika seseorang menguasai suatu barang yang secara hukum berada dalam penguasaan yang sah, tetapi kemudian barang tersebut diperlakukan atau dimiliki secara melawan hukum. Persoalan menjadi lebih khusus ketika penguasaan terhadap barang dilakukan karena adanya hubungan kerja, sebagaimana karakteristik penggelapan dalam jabatan yang diatur dalam Pasal 374 KUHP. Dalam perkara yang menjadi objek penelitian, terdakwa dinyatakan terbukti melakukan penggelapan dengan pemberatan karena penguasaan terhadap barang tersebut berkaitan dengan hubungan kerja.</w:t>
      </w:r>
    </w:p>
    <w:p w14:paraId="3AE2F823" w14:textId="6A4C2CC6" w:rsidR="00F131FE"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 xml:space="preserve">Penegakan hukum terhadap tindak pidana tersebut tidak hanya bergantung pada terpenuhinya unsur-unsur delik, tetapi juga pada ketepatan pertimbangan hakim dalam menilai fakta persidangan, alat bukti, ketentuan hukum yang didakwakan, serta hubungan antara fakta hukum dengan unsur tindak pidana. Pertimbangan hukum atau </w:t>
      </w:r>
      <w:r w:rsidRPr="00F131FE">
        <w:rPr>
          <w:rFonts w:ascii="Segoe UI" w:hAnsi="Segoe UI" w:cs="Segoe UI"/>
          <w:i/>
          <w:iCs/>
          <w:sz w:val="22"/>
          <w:szCs w:val="22"/>
          <w:lang w:val="id-ID"/>
        </w:rPr>
        <w:t>ratio decidendi</w:t>
      </w:r>
      <w:r w:rsidRPr="00F131FE">
        <w:rPr>
          <w:rFonts w:ascii="Segoe UI" w:hAnsi="Segoe UI" w:cs="Segoe UI"/>
          <w:sz w:val="22"/>
          <w:szCs w:val="22"/>
          <w:lang w:val="id-ID"/>
        </w:rPr>
        <w:t xml:space="preserve"> merupakan dasar pemikiran hakim dalam menjatuhkan putusan yang harus disusun secara sistematis, logis, dan saling berhubungan dengan fakta persidangan, doktrin, alat bukti, serta ketentuan hukum yang berlaku. Pertimbangan tersebut memiliki kedudukan penting karena menentukan apakah suatu putusan mampu mencerminkan keadilan, kepastian hukum, dan kemanfaatan.</w:t>
      </w:r>
    </w:p>
    <w:p w14:paraId="49A2D3DD" w14:textId="300B5748" w:rsidR="00F131FE"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 xml:space="preserve">Permasalahan tersebut menjadi penting untuk dikaji dalam Putusan Pengadilan Negeri Makassar Nomor 1339/Pid.B/2023/PN Mks. Perkara ini berkaitan dengan tindak pidana penggelapan dengan pemberatan yang dilakukan oleh terdakwa dalam konteks hubungan kerja. Dalam memutus perkara tersebut, hakim mempertimbangkan unsur-unsur tindak pidana sebagaimana dakwaan Jaksa Penuntut Umum serta fakta-fakta hukum yang terungkap selama </w:t>
      </w:r>
      <w:r w:rsidRPr="00F131FE">
        <w:rPr>
          <w:rFonts w:ascii="Segoe UI" w:hAnsi="Segoe UI" w:cs="Segoe UI"/>
          <w:sz w:val="22"/>
          <w:szCs w:val="22"/>
          <w:lang w:val="id-ID"/>
        </w:rPr>
        <w:lastRenderedPageBreak/>
        <w:t>persidangan. Hasil penelitian dalam Tugas Akhir menunjukkan bahwa pertimbangan hakim diarahkan pada dakwaan primer berdasarkan Pasal 374 KUHP dan dinilai telah sesuai dengan fakta-fakta persidangan sehingga terdakwa dinyatakan terbukti secara sah dan meyakinkan melakukan tindak pidana penggelapan dengan pemberatan.</w:t>
      </w:r>
    </w:p>
    <w:p w14:paraId="4C7742C4" w14:textId="4EEC1D88" w:rsidR="00F131FE"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Di sisi lain, putusan tersebut juga menimbulkan persoalan mengenai proporsionalitas pidana yang dijatuhkan. Terdakwa dijatuhi pidana penjara selama 1 (satu) tahun 10 (sepuluh) bulan. Dalam analisis Tugas Akhir, pidana tersebut dipandang relatif ringan dan dinilai belum memberikan efek jera yang optimal, baik terhadap pelaku maupun masyarakat. Dengan demikian, kajian terhadap putusan tidak berhenti pada pertanyaan mengenai terpenuhinya unsur tindak pidana, tetapi juga mencakup bagaimana hakim membangun pertimbangan hukum sampai pada kesimpulan mengenai kesalahan terdakwa dan pidana yang dijatuhkan.</w:t>
      </w:r>
    </w:p>
    <w:p w14:paraId="49A349D4" w14:textId="1E6D61ED" w:rsidR="00F131FE"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 xml:space="preserve">Sejumlah penelitian terdahulu telah membahas tindak pidana penggelapan dalam berbagai konteks, termasuk penggelapan yang berkaitan dengan transaksi </w:t>
      </w:r>
      <w:r w:rsidRPr="00F131FE">
        <w:rPr>
          <w:rFonts w:ascii="Segoe UI" w:hAnsi="Segoe UI" w:cs="Segoe UI"/>
          <w:i/>
          <w:iCs/>
          <w:sz w:val="22"/>
          <w:szCs w:val="22"/>
          <w:lang w:val="id-ID"/>
        </w:rPr>
        <w:t>cash on delivery</w:t>
      </w:r>
      <w:r w:rsidRPr="00F131FE">
        <w:rPr>
          <w:rFonts w:ascii="Segoe UI" w:hAnsi="Segoe UI" w:cs="Segoe UI"/>
          <w:sz w:val="22"/>
          <w:szCs w:val="22"/>
          <w:lang w:val="id-ID"/>
        </w:rPr>
        <w:t xml:space="preserve">, perlindungan pihak-pihak yang terlibat dalam transaksi COD, maupun aspek pertanggungjawaban hukum dalam transaksi elektronik (Hartanti et al., 2021; Aqil et al., 2022; Rofka, 2022; Wiryawan, 2021). Namun, berdasarkan fokus penelitian dalam Tugas Akhir ini, persoalan yang secara khusus dikaji adalah konstruksi pertimbangan hukum hakim dalam menerapkan Pasal 374 KUHP terhadap perkara penggelapan dengan pemberatan dalam Putusan Pengadilan Negeri Makassar Nomor 1339/Pid.B/2023/PN Mks, termasuk hubungan antara fakta hukum yang terungkap di persidangan dengan pertimbangan hakim dalam menentukan kesalahan terdakwa. Dengan fokus tersebut, penelitian ini ditempatkan sebagai kajian hukum yang berorientasi pada analisis terhadap </w:t>
      </w:r>
      <w:r w:rsidRPr="00F131FE">
        <w:rPr>
          <w:rFonts w:ascii="Segoe UI" w:hAnsi="Segoe UI" w:cs="Segoe UI"/>
          <w:i/>
          <w:iCs/>
          <w:sz w:val="22"/>
          <w:szCs w:val="22"/>
          <w:lang w:val="id-ID"/>
        </w:rPr>
        <w:t>ratio decidendi</w:t>
      </w:r>
      <w:r w:rsidRPr="00F131FE">
        <w:rPr>
          <w:rFonts w:ascii="Segoe UI" w:hAnsi="Segoe UI" w:cs="Segoe UI"/>
          <w:sz w:val="22"/>
          <w:szCs w:val="22"/>
          <w:lang w:val="id-ID"/>
        </w:rPr>
        <w:t xml:space="preserve"> hakim dalam perkara konkret.</w:t>
      </w:r>
    </w:p>
    <w:p w14:paraId="7622462A" w14:textId="0E408A03" w:rsidR="00F131FE"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Penelitian ini penting dilakukan karena pertimbangan hakim merupakan bagian fundamental dari putusan pidana. Hakim tidak hanya dituntut untuk memastikan terpenuhinya unsur tindak pidana, tetapi juga harus memberikan alasan hukum yang dapat dipertanggungjawabkan mengenai penerapan ketentuan pidana terhadap fakta konkret. Ketepatan pertimbangan tersebut berpengaruh terhadap legitimasi putusan dan pencapaian tujuan penegakan hukum. Dalam konteks perkara penggelapan dengan pemberatan, analisis terhadap pertimbangan hakim menjadi semakin relevan karena karakter perbuatannya berkaitan dengan adanya hubungan kepercayaan atau hubungan kerja yang memungkinkan pelaku memperoleh penguasaan terhadap barang yang kemudian disalahgunakan.</w:t>
      </w:r>
    </w:p>
    <w:p w14:paraId="24BBEB15" w14:textId="60FC7D5A" w:rsidR="00F131FE" w:rsidRPr="00024C64" w:rsidRDefault="00F131FE" w:rsidP="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 xml:space="preserve">Berdasarkan uraian tersebut, penelitian ini bertujuan untuk menganalisis pertimbangan hukum hakim dalam tindak pidana penggelapan dengan pemberatan berdasarkan Putusan Pengadilan Negeri Makassar Nomor 1339/Pid.B/2023/PN Mks. Penelitian ini juga diarahkan untuk menilai kesesuaian pertimbangan hakim dengan ketentuan hukum yang diterapkan, fakta-fakta hukum yang terungkap dalam persidangan, serta dasar pertimbangan dalam menjatuhkan pidana terhadap terdakwa. Penelitian ini diharapkan memberikan kontribusi secara teoretis bagi pengembangan kajian hukum pidana, khususnya mengenai </w:t>
      </w:r>
      <w:r w:rsidRPr="00F131FE">
        <w:rPr>
          <w:rFonts w:ascii="Segoe UI" w:hAnsi="Segoe UI" w:cs="Segoe UI"/>
          <w:i/>
          <w:iCs/>
          <w:sz w:val="22"/>
          <w:szCs w:val="22"/>
          <w:lang w:val="id-ID"/>
        </w:rPr>
        <w:t>ratio decidendi</w:t>
      </w:r>
      <w:r w:rsidRPr="00F131FE">
        <w:rPr>
          <w:rFonts w:ascii="Segoe UI" w:hAnsi="Segoe UI" w:cs="Segoe UI"/>
          <w:sz w:val="22"/>
          <w:szCs w:val="22"/>
          <w:lang w:val="id-ID"/>
        </w:rPr>
        <w:t xml:space="preserve"> dalam perkara penggelapan dengan pemberatan, dan secara praktis menjadi bahan pertimbangan bagi aparat penegak hukum dalam membangun putusan yang memberikan keadilan, kepastian hukum, dan kemanfaatan.</w:t>
      </w:r>
    </w:p>
    <w:p w14:paraId="0FC11963" w14:textId="77777777" w:rsidR="001E0508" w:rsidRPr="001C62FB" w:rsidRDefault="001C62FB" w:rsidP="00955050">
      <w:pPr>
        <w:pStyle w:val="Heading3"/>
        <w:ind w:left="1134" w:right="322" w:hanging="425"/>
      </w:pPr>
      <w:r>
        <w:lastRenderedPageBreak/>
        <w:t xml:space="preserve">METODOLOGI PENELITIAN </w:t>
      </w:r>
    </w:p>
    <w:p w14:paraId="5CE07426" w14:textId="77777777" w:rsidR="00AE0872" w:rsidRDefault="00000000">
      <w:pPr>
        <w:pStyle w:val="Heading2"/>
        <w:ind w:right="322"/>
        <w:rPr>
          <w:rStyle w:val="mediumtext"/>
        </w:rPr>
      </w:pPr>
      <w:r>
        <w:rPr>
          <w:rStyle w:val="mediumtext"/>
        </w:rPr>
        <w:t>2.1 Jenis dan Pendekatan Penelitian</w:t>
      </w:r>
    </w:p>
    <w:p w14:paraId="29D4C899" w14:textId="1B561434" w:rsidR="00AE0872"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Penelitian ini merupakan penelitian hukum normatif yang berfokus pada pengkajian putusan hakim dalam perkara tindak pidana penggelapan dengan pemberatan. Penelitian diarahkan untuk menganalisis ketentuan hukum yang diterapkan serta pertimbangan hukum hakim dalam Putusan Pengadilan Negeri Makassar Nomor 1339/Pid.B/2023/PN Mks. Penelitian menggunakan pendekatan studi kasus hukum (</w:t>
      </w:r>
      <w:r w:rsidRPr="00F131FE">
        <w:rPr>
          <w:rFonts w:ascii="Segoe UI" w:hAnsi="Segoe UI" w:cs="Segoe UI"/>
          <w:i/>
          <w:iCs/>
          <w:sz w:val="22"/>
          <w:szCs w:val="22"/>
          <w:lang w:val="id-ID"/>
        </w:rPr>
        <w:t>Legal Case Study</w:t>
      </w:r>
      <w:r w:rsidRPr="00F131FE">
        <w:rPr>
          <w:rFonts w:ascii="Segoe UI" w:hAnsi="Segoe UI" w:cs="Segoe UI"/>
          <w:sz w:val="22"/>
          <w:szCs w:val="22"/>
          <w:lang w:val="id-ID"/>
        </w:rPr>
        <w:t>) dengan menempatkan putusan tersebut sebagai objek utama kajian untuk memperoleh pemahaman mengenai penerapan norma hukum terhadap fakta hukum konkret dalam perkara penggelapan dengan pemberatan.</w:t>
      </w:r>
    </w:p>
    <w:p w14:paraId="4D8DA5C0" w14:textId="28778068" w:rsidR="00F131FE" w:rsidRPr="00F131FE"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Pendekatan studi kasus digunakan untuk mengkaji amar putusan sekaligus pertimbangan hukum yang menjadi dasar hakim dalam menentukan terpenuhinya unsur tindak pidana dan menjatuhkan pidana terhadap terdakwa. Dengan pendekatan tersebut, analisis difokuskan pada kesesuaian antara ketentuan hukum yang digunakan, fakta-fakta hukum yang terungkap dalam persidangan, serta argumentasi hukum yang mendasari putusan.</w:t>
      </w:r>
    </w:p>
    <w:p w14:paraId="1BD0E559" w14:textId="77777777" w:rsidR="00AE0872" w:rsidRPr="00F131FE" w:rsidRDefault="00AE0872">
      <w:pPr>
        <w:pStyle w:val="IEEEParagraph"/>
        <w:ind w:left="567" w:right="322"/>
        <w:rPr>
          <w:lang w:val="sv-SE"/>
        </w:rPr>
      </w:pPr>
    </w:p>
    <w:p w14:paraId="37FB3D48" w14:textId="0B78DC40" w:rsidR="00AE0872" w:rsidRDefault="00000000">
      <w:pPr>
        <w:pStyle w:val="Heading2"/>
        <w:ind w:right="322"/>
        <w:rPr>
          <w:rStyle w:val="mediumtext"/>
        </w:rPr>
      </w:pPr>
      <w:r>
        <w:rPr>
          <w:rStyle w:val="mediumtext"/>
        </w:rPr>
        <w:t xml:space="preserve">2.2 </w:t>
      </w:r>
      <w:r w:rsidR="00024C64" w:rsidRPr="00024C64">
        <w:t>Sumber Data dan Bahan Hukum</w:t>
      </w:r>
    </w:p>
    <w:p w14:paraId="3C6AC49B" w14:textId="256D1D21" w:rsidR="00AE0872" w:rsidRPr="00F131FE" w:rsidRDefault="00F131FE">
      <w:pPr>
        <w:pStyle w:val="IEEEParagraph"/>
        <w:ind w:left="567" w:right="322" w:firstLine="567"/>
        <w:rPr>
          <w:rFonts w:ascii="Segoe UI" w:hAnsi="Segoe UI" w:cs="Segoe UI"/>
          <w:sz w:val="22"/>
          <w:szCs w:val="22"/>
          <w:lang w:val="sv-SE"/>
        </w:rPr>
      </w:pPr>
      <w:r w:rsidRPr="00F131FE">
        <w:rPr>
          <w:rFonts w:ascii="Segoe UI" w:hAnsi="Segoe UI" w:cs="Segoe UI"/>
          <w:sz w:val="22"/>
          <w:szCs w:val="22"/>
          <w:lang w:val="id-ID"/>
        </w:rPr>
        <w:t>Data yang digunakan dalam penelitian ini terdiri atas data primer dan data sekunder. Data primer diperoleh melalui wawancara secara langsung dengan pihak yang terkait dengan objek penelitian, khususnya dalam rangka memperoleh informasi yang relevan terhadap pertimbangan hukum hakim dalam perkara tindak pidana penggelapan dengan pemberatan. Data sekunder diperoleh melalui studi kepustakaan yang meliputi peraturan perundang-undangan, buku-buku hukum, dokumen, dan sumber kepustakaan lain yang mempunyai keterkaitan dengan permasalahan penelitian.</w:t>
      </w:r>
    </w:p>
    <w:p w14:paraId="670532CA" w14:textId="36B9C4DD" w:rsidR="00AE0872" w:rsidRPr="00F131FE" w:rsidRDefault="00F131FE">
      <w:pPr>
        <w:pStyle w:val="IEEEParagraph"/>
        <w:ind w:left="567" w:right="322" w:firstLine="567"/>
        <w:rPr>
          <w:rFonts w:ascii="Segoe UI" w:hAnsi="Segoe UI" w:cs="Segoe UI"/>
          <w:sz w:val="22"/>
          <w:szCs w:val="22"/>
          <w:lang w:val="sv-SE"/>
        </w:rPr>
      </w:pPr>
      <w:r w:rsidRPr="00F131FE">
        <w:rPr>
          <w:rFonts w:ascii="Segoe UI" w:hAnsi="Segoe UI" w:cs="Segoe UI"/>
          <w:sz w:val="22"/>
          <w:szCs w:val="22"/>
          <w:lang w:val="id-ID"/>
        </w:rPr>
        <w:t>Dalam konteks penelitian hukum normatif, bahan hukum tersebut digunakan untuk menguji dan memberikan dasar analisis terhadap Putusan Pengadilan Negeri Makassar Nomor 1339/Pid.B/2023/PN Mks, terutama mengenai penerapan ketentuan pidana terhadap tindak pidana penggelapan dengan pemberatan.</w:t>
      </w:r>
    </w:p>
    <w:p w14:paraId="4D7A7055" w14:textId="77777777" w:rsidR="00AE0872" w:rsidRPr="00F131FE" w:rsidRDefault="00AE0872">
      <w:pPr>
        <w:pStyle w:val="IEEEParagraph"/>
        <w:ind w:left="567" w:right="322"/>
        <w:rPr>
          <w:lang w:val="sv-SE"/>
        </w:rPr>
      </w:pPr>
    </w:p>
    <w:p w14:paraId="6D345DDE" w14:textId="77777777" w:rsidR="00AE0872" w:rsidRDefault="00000000">
      <w:pPr>
        <w:pStyle w:val="Heading2"/>
        <w:ind w:right="322"/>
        <w:rPr>
          <w:rStyle w:val="mediumtext"/>
        </w:rPr>
      </w:pPr>
      <w:r>
        <w:rPr>
          <w:rStyle w:val="mediumtext"/>
        </w:rPr>
        <w:t>2.3 Teknik Pengumpulan Bahan Hukum</w:t>
      </w:r>
    </w:p>
    <w:p w14:paraId="0D020A8F" w14:textId="56B50B62" w:rsidR="00AE0872" w:rsidRPr="00F131FE"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Pengumpulan data dilakukan melalui penelitian kepustakaan (</w:t>
      </w:r>
      <w:r w:rsidRPr="00F131FE">
        <w:rPr>
          <w:rFonts w:ascii="Segoe UI" w:hAnsi="Segoe UI" w:cs="Segoe UI"/>
          <w:i/>
          <w:iCs/>
          <w:sz w:val="22"/>
          <w:szCs w:val="22"/>
          <w:lang w:val="id-ID"/>
        </w:rPr>
        <w:t>Library Research</w:t>
      </w:r>
      <w:r w:rsidRPr="00F131FE">
        <w:rPr>
          <w:rFonts w:ascii="Segoe UI" w:hAnsi="Segoe UI" w:cs="Segoe UI"/>
          <w:sz w:val="22"/>
          <w:szCs w:val="22"/>
          <w:lang w:val="id-ID"/>
        </w:rPr>
        <w:t>) dan penelitian lapangan (</w:t>
      </w:r>
      <w:r w:rsidRPr="00F131FE">
        <w:rPr>
          <w:rFonts w:ascii="Segoe UI" w:hAnsi="Segoe UI" w:cs="Segoe UI"/>
          <w:i/>
          <w:iCs/>
          <w:sz w:val="22"/>
          <w:szCs w:val="22"/>
          <w:lang w:val="id-ID"/>
        </w:rPr>
        <w:t>Field Research</w:t>
      </w:r>
      <w:r w:rsidRPr="00F131FE">
        <w:rPr>
          <w:rFonts w:ascii="Segoe UI" w:hAnsi="Segoe UI" w:cs="Segoe UI"/>
          <w:sz w:val="22"/>
          <w:szCs w:val="22"/>
          <w:lang w:val="id-ID"/>
        </w:rPr>
        <w:t>). Penelitian kepustakaan dilakukan dengan menelaah buku, peraturan perundang-undangan, dan dokumen lain yang berkaitan dengan tindak pidana penggelapan dengan pemberatan serta pertimbangan hukum hakim. Penelitian lapangan dilakukan melalui pengamatan dan wawancara terhadap pihak yang berkaitan dengan permasalahan penelitian untuk memperoleh informasi yang mendukung analisis terhadap pertimbangan hukum hakim.</w:t>
      </w:r>
    </w:p>
    <w:p w14:paraId="343A0BB8" w14:textId="77777777" w:rsidR="00AE0872" w:rsidRPr="00024C64" w:rsidRDefault="00AE0872">
      <w:pPr>
        <w:pStyle w:val="IEEEParagraph"/>
        <w:ind w:left="567" w:right="322"/>
        <w:rPr>
          <w:lang w:val="id-ID"/>
        </w:rPr>
      </w:pPr>
    </w:p>
    <w:p w14:paraId="31E071D4" w14:textId="77777777" w:rsidR="00AE0872" w:rsidRDefault="00000000">
      <w:pPr>
        <w:pStyle w:val="Heading2"/>
        <w:ind w:right="322"/>
        <w:rPr>
          <w:rStyle w:val="mediumtext"/>
        </w:rPr>
      </w:pPr>
      <w:r>
        <w:rPr>
          <w:rStyle w:val="mediumtext"/>
        </w:rPr>
        <w:t>2.4 Teknik Analisis Bahan Hukum</w:t>
      </w:r>
    </w:p>
    <w:p w14:paraId="0A7B9FA5" w14:textId="3016EA80" w:rsidR="00AE0872" w:rsidRPr="00F131FE" w:rsidRDefault="00F131FE">
      <w:pPr>
        <w:pStyle w:val="IEEEParagraph"/>
        <w:ind w:left="567" w:right="322" w:firstLine="567"/>
        <w:rPr>
          <w:rFonts w:ascii="Segoe UI" w:hAnsi="Segoe UI" w:cs="Segoe UI"/>
          <w:sz w:val="22"/>
          <w:szCs w:val="22"/>
          <w:lang w:val="sv-SE"/>
        </w:rPr>
      </w:pPr>
      <w:r w:rsidRPr="00F131FE">
        <w:rPr>
          <w:rFonts w:ascii="Segoe UI" w:hAnsi="Segoe UI" w:cs="Segoe UI"/>
          <w:sz w:val="22"/>
          <w:szCs w:val="22"/>
          <w:lang w:val="id-ID"/>
        </w:rPr>
        <w:t xml:space="preserve">Data yang telah diperoleh selanjutnya disusun, diuraikan, dan dianalisis secara kualitatif dengan metode deskriptif. Analisis dilakukan dengan menghubungkan data dan bahan hukum yang diperoleh dengan ketentuan peraturan perundang-undangan, konsep hukum, serta fakta-fakta yang terdapat dalam Putusan Pengadilan Negeri Makassar Nomor 1339/Pid.B/2023/PN Mks. Analisis difokuskan pada pertimbangan hukum hakim dalam menerapkan ketentuan mengenai </w:t>
      </w:r>
      <w:r w:rsidRPr="00F131FE">
        <w:rPr>
          <w:rFonts w:ascii="Segoe UI" w:hAnsi="Segoe UI" w:cs="Segoe UI"/>
          <w:sz w:val="22"/>
          <w:szCs w:val="22"/>
          <w:lang w:val="id-ID"/>
        </w:rPr>
        <w:lastRenderedPageBreak/>
        <w:t>penggelapan dengan pemberatan dan kesesuaiannya dengan fakta hukum yang terungkap dalam persidangan.</w:t>
      </w:r>
    </w:p>
    <w:p w14:paraId="78C49DD3" w14:textId="77777777" w:rsidR="00AE0872" w:rsidRPr="00F131FE" w:rsidRDefault="00AE0872">
      <w:pPr>
        <w:pStyle w:val="IEEEParagraph"/>
        <w:ind w:left="567" w:right="322"/>
        <w:rPr>
          <w:lang w:val="sv-SE"/>
        </w:rPr>
      </w:pPr>
    </w:p>
    <w:p w14:paraId="29E79859" w14:textId="77777777" w:rsidR="00AE0872" w:rsidRDefault="00000000">
      <w:pPr>
        <w:pStyle w:val="Heading2"/>
        <w:ind w:right="322"/>
        <w:rPr>
          <w:rStyle w:val="mediumtext"/>
        </w:rPr>
      </w:pPr>
      <w:r>
        <w:rPr>
          <w:rStyle w:val="mediumtext"/>
        </w:rPr>
        <w:t>2.5 Batasan Penelitian</w:t>
      </w:r>
    </w:p>
    <w:p w14:paraId="34CC4900" w14:textId="0F2CDA65" w:rsidR="00AE0872" w:rsidRPr="00F131FE" w:rsidRDefault="00F131FE">
      <w:pPr>
        <w:pStyle w:val="IEEEParagraph"/>
        <w:ind w:left="567" w:right="322" w:firstLine="567"/>
        <w:rPr>
          <w:rFonts w:ascii="Segoe UI" w:hAnsi="Segoe UI" w:cs="Segoe UI"/>
          <w:sz w:val="22"/>
          <w:szCs w:val="22"/>
          <w:lang w:val="id-ID"/>
        </w:rPr>
      </w:pPr>
      <w:r w:rsidRPr="00F131FE">
        <w:rPr>
          <w:rFonts w:ascii="Segoe UI" w:hAnsi="Segoe UI" w:cs="Segoe UI"/>
          <w:sz w:val="22"/>
          <w:szCs w:val="22"/>
          <w:lang w:val="id-ID"/>
        </w:rPr>
        <w:t>Penelitian ini dibatasi pada analisis yuridis terhadap pertimbangan hukum hakim dalam perkara tindak pidana penggelapan dengan pemberatan sebagaimana diputus dalam Putusan Pengadilan Negeri Makassar Nomor 1339/Pid.B/2023/PN Mks. Kajian difokuskan pada pertimbangan hakim dalam menerapkan ketentuan Pasal 374 KUHP terhadap fakta-fakta hukum yang terungkap dalam persidangan serta dasar pertimbangan dalam menjatuhkan pidana terhadap terdakwa. Penelitian ini tidak dimaksudkan untuk mengkaji seluruh aspek tindak pidana penggelapan secara umum maupun putusan pengadilan lain di luar objek penelitian, melainkan terbatas pada konstruksi pertimbangan hukum dan penerapan hukum dalam putusan yang menjadi objek kajian.</w:t>
      </w:r>
    </w:p>
    <w:p w14:paraId="1C196775" w14:textId="77777777" w:rsidR="001E0508" w:rsidRPr="001C62FB" w:rsidRDefault="006F0069" w:rsidP="006F0069">
      <w:pPr>
        <w:pStyle w:val="Heading3"/>
        <w:ind w:left="1134" w:hanging="283"/>
      </w:pPr>
      <w:r>
        <w:rPr>
          <w:iCs/>
        </w:rPr>
        <w:t>HASIL DA</w:t>
      </w:r>
      <w:r>
        <w:t>N PEMBAHASAN</w:t>
      </w:r>
    </w:p>
    <w:p w14:paraId="6F41151D" w14:textId="32C46E57" w:rsidR="00AE0872" w:rsidRDefault="00000000">
      <w:pPr>
        <w:pStyle w:val="Heading2"/>
        <w:ind w:right="322"/>
        <w:rPr>
          <w:rStyle w:val="mediumtext"/>
        </w:rPr>
      </w:pPr>
      <w:r>
        <w:rPr>
          <w:rStyle w:val="mediumtext"/>
        </w:rPr>
        <w:t xml:space="preserve">3.1 </w:t>
      </w:r>
      <w:r w:rsidR="00F131FE" w:rsidRPr="00F131FE">
        <w:t>Pertimbangan Hukum Hakim dalam Tindak Pidana Penggelapan dengan Pemberatan Berdasarkan Putusan PN Makassar Nomor 1339/Pid.B/2023/PN Mks</w:t>
      </w:r>
    </w:p>
    <w:p w14:paraId="2ED3FCA9" w14:textId="200246B5" w:rsidR="00AE0872"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Pertimbangan hukum hakim (</w:t>
      </w:r>
      <w:r w:rsidRPr="00735944">
        <w:rPr>
          <w:rFonts w:ascii="Segoe UI" w:hAnsi="Segoe UI" w:cs="Segoe UI"/>
          <w:i/>
          <w:iCs/>
          <w:sz w:val="22"/>
          <w:szCs w:val="22"/>
          <w:lang w:val="id-ID"/>
        </w:rPr>
        <w:t>ratio decidendi</w:t>
      </w:r>
      <w:r w:rsidRPr="00735944">
        <w:rPr>
          <w:rFonts w:ascii="Segoe UI" w:hAnsi="Segoe UI" w:cs="Segoe UI"/>
          <w:sz w:val="22"/>
          <w:szCs w:val="22"/>
          <w:lang w:val="id-ID"/>
        </w:rPr>
        <w:t>) merupakan dasar argumentasi yang digunakan hakim dalam menentukan dan menjatuhkan putusan terhadap suatu perkara. Dalam perkara pidana, pertimbangan tersebut harus dibangun berdasarkan fakta-fakta yang terungkap di persidangan, alat bukti yang sah, ketentuan hukum yang didakwakan, serta keterkaitan antara fakta dan unsur-unsur tindak pidana. Dalam Tugas Akhir Jumadil Awal, pertimbangan hukum ditempatkan sebagai aspek penting dalam mewujudkan putusan yang mengandung keadilan, kepastian hukum, dan kemanfaatan.</w:t>
      </w:r>
    </w:p>
    <w:p w14:paraId="48274DBB" w14:textId="1C2AFD9F"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Perkara dalam Putusan Pengadilan Negeri Makassar Nomor 1339/Pid.B/2023/PN Mks berawal dari perbuatan terdakwa Edi Als Echand Bin Djohanis, yang merupakan karyawan pada PT Kassakki Indo Baja sebagai sales. Terdakwa mulai bekerja pada perusahaan tersebut sejak 22 Oktober 2021 dan menerima gaji sebesar Rp5.500.000,00 per bulan di luar insentif. Sebagai sales, terdakwa mempunyai tugas mencari pesanan dan melakukan penagihan kepada pelanggan yang telah jatuh tempo. Dalam pelaksanaan tugas tersebut, terdakwa menerima pembayaran dari pelanggan yang seharusnya disetorkan kepada kasir perusahaan.</w:t>
      </w:r>
    </w:p>
    <w:p w14:paraId="3BA5AE50" w14:textId="3F69F3F8"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Fakta persidangan menunjukkan bahwa terdakwa melakukan penagihan kepada pelanggan dengan membawa faktur penjualan, menerima pembayaran dari pelanggan, kemudian menyerahkan faktur sebagai tanda bahwa pembayaran telah dilakukan, tetapi uang yang diterimanya tidak disetorkan kepada kasir perusahaan. Perbuatan tersebut menimbulkan kerugian bagi PT Kassakki Indo Baja sebesar Rp81.658.953,00. Uang hasil penagihan tersebut berasal dari dua pelanggan, yaitu Toko Tanete di Kabupaten Bantaeng dan Toko Sanjaya Aluminium di Kabupaten Sinjai. Pembayaran dilakukan baik secara tunai maupun melalui transfer ke rekening BCA pribadi terdakwa.</w:t>
      </w:r>
    </w:p>
    <w:p w14:paraId="6BC2C03E" w14:textId="67B56CD1"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Berdasarkan fakta tersebut, Jaksa Penuntut Umum mengajukan dakwaan berbentuk subsidiair, dengan dakwaan primair berdasarkan Pasal 374 KUHP dan dakwaan subsidiair berdasarkan Pasal 372 KUHP. Karena dakwaan disusun secara subsidiair, Majelis Hakim terlebih dahulu memeriksa dan mempertimbangkan dakwaan primair sebagaimana Pasal 374 KUHP. Unsur yang dipertimbangkan oleh majelis terdiri atas unsur “barang siapa” dan unsur “dengan sengaja </w:t>
      </w:r>
      <w:r w:rsidRPr="00735944">
        <w:rPr>
          <w:rFonts w:ascii="Segoe UI" w:hAnsi="Segoe UI" w:cs="Segoe UI"/>
          <w:sz w:val="22"/>
          <w:szCs w:val="22"/>
          <w:lang w:val="id-ID"/>
        </w:rPr>
        <w:lastRenderedPageBreak/>
        <w:t>dan melawan hukum mengakui sebagai milik sendiri barang sesuatu yang seluruhnya atau sebagian adalah kepunyaan orang lain, yang ada dalam kekuasaannya bukan karena kejahatan, disebabkan karena ada hubungan kerja atau karena pencarian atau karena mendapat upah untuk itu.”</w:t>
      </w:r>
    </w:p>
    <w:p w14:paraId="110ACD2F" w14:textId="141BB40A"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Terhadap unsur “barang siapa”, hakim terlebih dahulu memastikan identitas subjek hukum yang diajukan ke persidangan. Terdakwa mengakui dan membenarkan identitasnya sebagaimana tercantum dalam surat dakwaan, sehingga tidak terdapat kekeliruan mengenai subjek hukum yang diadili. Atas dasar tersebut, majelis menyatakan unsur “barang siapa” telah terbukti secara sah dan meyakinkan.</w:t>
      </w:r>
    </w:p>
    <w:p w14:paraId="5FB57E3C" w14:textId="6615FB3F"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Pertimbangan berikutnya berkaitan dengan unsur material tindak pidana sebagaimana dirumuskan dalam Pasal 374 KUHP. Hakim menilai unsur tersebut dengan menghubungkan aspek kesengajaan, sifat melawan hukum, penguasaan barang, kepemilikan barang oleh pihak lain, serta hubungan kerja yang menyebabkan barang atau uang berada dalam penguasaan terdakwa. Dalam pertimbangannya, hakim menjelaskan bahwa kesengajaan berkaitan dengan adanya kehendak dan pengetahuan mengenai perbuatan yang dilakukan, sedangkan sifat melawan hukum menunjukkan adanya pertentangan dengan hukum. Hakim juga mempertimbangkan bahwa barang yang berada dalam kekuasaan seseorang dapat dikatakan berada secara sah pada awalnya, tetapi kemudian menjadi objek penggelapan ketika dikuasai atau diperlakukan seolah-olah sebagai milik sendiri secara melawan hukum.</w:t>
      </w:r>
    </w:p>
    <w:p w14:paraId="3CC02E45" w14:textId="747EC8ED"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Penerapan unsur hubungan kerja dalam perkara ini mempunyai arti penting karena membedakan penggelapan dalam jabatan dari bentuk penggelapan biasa. Terdakwa memperoleh penguasaan terhadap uang perusahaan bukan melalui suatu perbuatan pencurian, melainkan karena kedudukannya sebagai sales yang memang diberi kewenangan untuk melakukan penagihan kepada pelanggan. Dengan demikian, penguasaan awal terhadap uang tersebut memiliki dasar yang sah dalam hubungan pekerjaan. Persoalan pidana muncul ketika uang yang telah diterima dari pelanggan tidak diserahkan kepada perusahaan sebagaimana kewajiban terdakwa. Kondisi ini secara langsung berkaitan dengan karakteristik penggelapan dalam jabatan sebagaimana dimaksud dalam Pasal 374 KUHP.</w:t>
      </w:r>
    </w:p>
    <w:p w14:paraId="1694461E" w14:textId="123423DA"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Fakta-fakta persidangan memperkuat hubungan antara kedudukan terdakwa sebagai pekerja dan penguasaan terhadap objek yang kemudian digelapkan. Terdakwa bekerja sebagai sales, menerima faktur penagihan dari perusahaan, melakukan penagihan kepada pelanggan, menerima uang pembayaran, dan berdasarkan prosedur perusahaan seharusnya menyerahkan uang tersebut kepada kasir. Namun, terdakwa tidak melaksanakan kewajiban tersebut. Bahkan, ketika pihak perusahaan kemudian melakukan konfirmasi kepada pelanggan mengenai faktur yang telah jatuh tempo, pelanggan menyatakan telah melakukan pembayaran dan uang tersebut telah diterima oleh sales, yaitu terdakwa. Fakta ini menjadi dasar penting bagi hakim dalam menghubungkan perbuatan terdakwa dengan unsur penguasaan barang karena hubungan kerja.</w:t>
      </w:r>
    </w:p>
    <w:p w14:paraId="06A28EEA" w14:textId="503038ED"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Dengan demikian, pertimbangan hakim dalam perkara ini menunjukkan adanya hubungan logis antara status terdakwa sebagai karyawan, kewenangan melakukan penagihan, penerimaan uang milik perusahaan, tidak disetorkannya uang kepada perusahaan, serta timbulnya kerugian perusahaan. Rangkaian fakta tersebut digunakan untuk membuktikan bahwa penguasaan terdakwa terhadap uang pada awalnya diperoleh secara sah karena pekerjaannya, tetapi kemudian berubah menjadi perbuatan melawan hukum karena uang tersebut tidak diserahkan kepada perusahaan dan digunakan untuk kepentingan pribadi. Tugas Akhir Jumadil Awal menilai bahwa </w:t>
      </w:r>
      <w:r w:rsidRPr="00735944">
        <w:rPr>
          <w:rFonts w:ascii="Segoe UI" w:hAnsi="Segoe UI" w:cs="Segoe UI"/>
          <w:sz w:val="22"/>
          <w:szCs w:val="22"/>
          <w:lang w:val="id-ID"/>
        </w:rPr>
        <w:lastRenderedPageBreak/>
        <w:t>cara hakim menghubungkan unsur-unsur Pasal 374 KUHP dengan fakta persidangan tersebut sudah tepat.</w:t>
      </w:r>
    </w:p>
    <w:p w14:paraId="2F7B302E" w14:textId="7F2B35BE"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Dari perspektif pertimbangan hukum, konstruksi tersebut menunjukkan bahwa majelis hakim tidak hanya berpedoman pada identitas terdakwa dan keberadaan kerugian perusahaan, tetapi terlebih dahulu memeriksa unsur-unsur pasal yang didakwakan serta menghubungkannya dengan fakta yang terungkap di persidangan. Pendekatan demikian penting karena pembuktian tindak pidana penggelapan dalam jabatan tidak cukup didasarkan pada adanya barang atau uang milik orang lain yang hilang, melainkan harus dapat dibuktikan bahwa penguasaan terhadap barang tersebut timbul karena hubungan kerja atau pekerjaan dan kemudian terdapat kesengajaan untuk menguasainya secara melawan hukum.</w:t>
      </w:r>
    </w:p>
    <w:p w14:paraId="274D66BC" w14:textId="646F36FE"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Selain aspek yuridis normatif, Tugas Akhir juga menempatkan pertimbangan hakim dalam kerangka aspek filosofis dan sosiologis. Hakim pada prinsipnya tidak hanya dituntut menerapkan ketentuan tertulis, tetapi juga mempertimbangkan keadilan, kepastian hukum, dan kemanfaatan. Tugas Akhir menguraikan bahwa pertimbangan hakim idealnya memperhatikan aspek yuridis normatif, filosofis, sosiologis, serta fakta yang terungkap dalam persidangan sehingga putusan dapat dipertanggungjawabkan.</w:t>
      </w:r>
    </w:p>
    <w:p w14:paraId="7ECC056B" w14:textId="634F75C2"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Dalam perkara a quo, aspek yuridis terlihat dari penerapan Pasal 374 KUHP terhadap perbuatan terdakwa. Aspek tersebut diperkuat dengan fakta bahwa terdakwa memang memiliki hubungan kerja dengan PT Kassakki Indo Baja dan kewenangan melakukan penagihan, sehingga uang yang diterimanya dari pelanggan berada dalam penguasaannya karena pekerjaan. Aspek sosiologis dan filosofis berkaitan dengan tujuan agar putusan tidak semata-mata memberikan kepastian hukum secara formal, tetapi juga memberikan keadilan dan kemanfaatan bagi pihak yang dirugikan serta masyarakat. Tugas Akhir menegaskan bahwa ketiga aspek tersebut perlu ditempatkan secara seimbang dalam pertimbangan putusan.</w:t>
      </w:r>
    </w:p>
    <w:p w14:paraId="6F8ED6FE" w14:textId="6A0656D3"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Berdasarkan keseluruhan pertimbangan tersebut, Majelis Hakim menyatakan terdakwa Edi Als Echand Bin Djohanis terbukti secara sah dan meyakinkan bersalah melakukan tindak pidana “penggelapan dalam jabatan” sebagaimana dakwaan primair Penuntut Umum. Hakim kemudian menjatuhkan pidana penjara selama 1 (satu) tahun 10 (sepuluh) bulan, dengan masa penangkapan dan penahanan yang telah dijalani terdakwa diperhitungkan seluruhnya sebagai pengurangan dari pidana yang dijatuhkan.</w:t>
      </w:r>
    </w:p>
    <w:p w14:paraId="654DA5EC" w14:textId="31A7089C"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Berdasarkan hasil analisis, pertimbangan hukum hakim dalam Putusan Pengadilan Negeri Makassar Nomor 1339/Pid.B/2023/PN Mks pada dasarnya telah sesuai dengan konstruksi unsur Pasal 374 KUHP dan fakta hukum yang terungkap di persidangan. Hakim secara sistematis memeriksa unsur subjek hukum dan unsur materiil tindak pidana, kemudian menghubungkannya dengan fakta bahwa terdakwa memperoleh penguasaan terhadap uang karena hubungan kerja sebagai sales dan dengan sengaja tidak menyetorkannya kepada perusahaan. Dengan demikian, dari aspek pembuktian unsur tindak pidana, putusan tersebut memiliki dasar pertimbangan yang kuat. Temuan ini sejalan dengan kesimpulan Tugas Akhir yang menilai bahwa hakim telah melakukan penegakan hukum berdasarkan fakta-fakta persidangan dan secara sah serta meyakinkan menyatakan terdakwa bersalah melakukan penggelapan dalam jabatan.</w:t>
      </w:r>
    </w:p>
    <w:p w14:paraId="4ABC8D45" w14:textId="0D4D511D"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Namun demikian, terdapat persoalan yang perlu dibedakan antara ketepatan pertimbangan mengenai terbuktinya tindak pidana dan proporsionalitas pidana yang dijatuhkan. Tugas Akhir menilai bahwa meskipun terdakwa telah terbukti melakukan penggelapan dalam jabatan dan menimbulkan kerugian perusahaan sebesar Rp81.658.953,00, pidana penjara selama 1 tahun 10 bulan dipandang terlalu ringan dan belum memberikan efek jera yang memadai. Persoalan </w:t>
      </w:r>
      <w:r w:rsidRPr="00735944">
        <w:rPr>
          <w:rFonts w:ascii="Segoe UI" w:hAnsi="Segoe UI" w:cs="Segoe UI"/>
          <w:sz w:val="22"/>
          <w:szCs w:val="22"/>
          <w:lang w:val="id-ID"/>
        </w:rPr>
        <w:lastRenderedPageBreak/>
        <w:t>mengenai berat-ringannya pidana ini akan menjadi bagian yang lebih tepat untuk dianalisis secara khusus pada Subbagian 3.2, sehingga 3.1 tetap fokus pada konstruksi dan ketepatan pertimbangan hukum hakim.</w:t>
      </w:r>
    </w:p>
    <w:p w14:paraId="1EFE2F12" w14:textId="77777777" w:rsidR="00AE0872" w:rsidRPr="00024C64" w:rsidRDefault="00AE0872">
      <w:pPr>
        <w:pStyle w:val="IEEEParagraph"/>
        <w:ind w:left="567" w:right="322"/>
        <w:rPr>
          <w:lang w:val="id-ID"/>
        </w:rPr>
      </w:pPr>
    </w:p>
    <w:p w14:paraId="18607A37" w14:textId="46F88DA6" w:rsidR="00AE0872" w:rsidRDefault="00000000">
      <w:pPr>
        <w:pStyle w:val="Heading2"/>
        <w:ind w:right="322"/>
        <w:rPr>
          <w:rStyle w:val="mediumtext"/>
        </w:rPr>
      </w:pPr>
      <w:r>
        <w:rPr>
          <w:rStyle w:val="mediumtext"/>
        </w:rPr>
        <w:t xml:space="preserve">3.2 </w:t>
      </w:r>
      <w:r w:rsidR="00735944" w:rsidRPr="00735944">
        <w:t>Analisis Yuridis atas Putusan Hakim dalam Perkara Penggelapan dengan Pemberatan Berdasarkan Putusan PN Makassar Nomor 1339/Pid.B/2023/PN Mks</w:t>
      </w:r>
    </w:p>
    <w:p w14:paraId="75691D86" w14:textId="77777777"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Analisis terhadap Putusan Pengadilan Negeri Makassar Nomor 1339/Pid.B/2023/PN Mks tidak hanya diarahkan pada terbuktinya unsur tindak pidana penggelapan dalam jabatan, tetapi juga pada kesesuaian antara pertimbangan hukum hakim, fakta yang terungkap di persidangan, dan pidana yang akhirnya dijatuhkan kepada terdakwa. Dalam perkara ini, hakim menyatakan terdakwa Edi Als Echand Bin Djohanis terbukti secara sah dan meyakinkan melakukan tindak pidana “penggelapan dalam jabatan” sebagaimana dakwaan primair Penuntut Umum dan menjatuhkan pidana penjara selama 1 (satu) tahun 10 (sepuluh) bulan. </w:t>
      </w:r>
    </w:p>
    <w:p w14:paraId="357F329C" w14:textId="67449B9C"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Secara yuridis, putusan tersebut mempunyai dasar yang jelas karena hakim terlebih dahulu memeriksa dakwaan primair yang didasarkan pada Pasal 374 KUHP. Terdakwa memperoleh penguasaan terhadap uang perusahaan dalam kapasitasnya sebagai sales, yaitu melalui pelaksanaan tugas penagihan kepada pelanggan. Dengan demikian, penguasaan awal terhadap uang tersebut bukan diperoleh melalui suatu tindak pidana, melainkan lahir dari hubungan kerja. Permasalahan hukum timbul ketika uang pembayaran yang telah diterima dari pelanggan tidak diserahkan kepada perusahaan sebagaimana kewajiban terdakwa. Fakta tersebut menjadi dasar penting bagi hakim untuk mengualifikasikan perbuatan terdakwa sebagai penggelapan dalam jabatan.</w:t>
      </w:r>
    </w:p>
    <w:p w14:paraId="65CDB407" w14:textId="4445E401"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Kualifikasi tersebut semakin diperkuat oleh fakta bahwa terdakwa menerima pembayaran dari pelanggan secara langsung, baik secara tunai maupun melalui transfer ke rekening pribadi, tetapi pembayaran tersebut tidak disetorkan kepada perusahaan. Pihak perusahaan kemudian mengetahui adanya perbuatan tersebut setelah melakukan konfirmasi kepada pelanggan yang menyatakan bahwa pembayaran telah dilakukan kepada terdakwa. Dari rangkaian peristiwa tersebut timbul kerugian perusahaan sebesar Rp81.658.953,00.</w:t>
      </w:r>
    </w:p>
    <w:p w14:paraId="6F8995F0" w14:textId="4624F00A"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Dalam perspektif analisis yuridis, rangkaian fakta tersebut menunjukkan adanya hubungan yang erat antara </w:t>
      </w:r>
      <w:r w:rsidRPr="00735944">
        <w:rPr>
          <w:rFonts w:ascii="Segoe UI" w:hAnsi="Segoe UI" w:cs="Segoe UI"/>
          <w:b/>
          <w:bCs/>
          <w:sz w:val="22"/>
          <w:szCs w:val="22"/>
          <w:lang w:val="id-ID"/>
        </w:rPr>
        <w:t>kedudukan terdakwa sebagai pekerja, kewenangan yang diberikan perusahaan, penguasaan terhadap uang milik perusahaan, dan penggunaan uang tersebut untuk kepentingan pribadi</w:t>
      </w:r>
      <w:r w:rsidRPr="00735944">
        <w:rPr>
          <w:rFonts w:ascii="Segoe UI" w:hAnsi="Segoe UI" w:cs="Segoe UI"/>
          <w:sz w:val="22"/>
          <w:szCs w:val="22"/>
          <w:lang w:val="id-ID"/>
        </w:rPr>
        <w:t>. Oleh karena itu, putusan hakim yang menyatakan terdakwa terbukti melakukan penggelapan dalam jabatan memiliki hubungan yang logis dengan fakta hukum yang terungkap di persidangan. Tugas Akhir secara tegas menyimpulkan bahwa hakim telah mempertimbangkan unsur-unsur pasal yang didakwakan serta fakta-fakta hukum persidangan dengan tepat.</w:t>
      </w:r>
    </w:p>
    <w:p w14:paraId="6CB1C59B" w14:textId="24F1C97E"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Akan tetapi, analisis yuridis terhadap putusan tidak berhenti pada persoalan terbuktinya tindak pidana. Putusan pidana juga harus dilihat dari bagaimana hakim menentukan jenis dan berat-ringannya pidana yang dijatuhkan. Dalam kajian Tugas Akhir, aspek tersebut menjadi titik kritis karena terdakwa yang telah dinyatakan terbukti melakukan penggelapan dalam jabatan dijatuhi pidana penjara selama 1 tahun 10 bulan, sedangkan akibat perbuatannya perusahaan mengalami kerugian sebesar Rp81.658.953,00. Penulis Tugas Akhir menilai bahwa pidana tersebut terlalu ringan dan belum menimbulkan efek jera yang memadai.</w:t>
      </w:r>
    </w:p>
    <w:p w14:paraId="294372BE" w14:textId="249AB8FF"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Penilaian terhadap berat-ringannya pidana harus ditempatkan dalam kerangka tujuan hukum yang mencakup keadilan, kepastian hukum, dan kemanfaatan. Tugas Akhir menguraikan </w:t>
      </w:r>
      <w:r w:rsidRPr="00735944">
        <w:rPr>
          <w:rFonts w:ascii="Segoe UI" w:hAnsi="Segoe UI" w:cs="Segoe UI"/>
          <w:sz w:val="22"/>
          <w:szCs w:val="22"/>
          <w:lang w:val="id-ID"/>
        </w:rPr>
        <w:lastRenderedPageBreak/>
        <w:t>bahwa ketiga tujuan tersebut merupakan unsur penting dalam suatu putusan, sekalipun keadilan ditempatkan sebagai tujuan yang sangat penting. Putusan hakim dengan demikian tidak cukup hanya memenuhi aspek kepastian hukum melalui penerapan ketentuan tertulis, tetapi juga harus memperhatikan keadilan dan kemanfaatan yang dapat dirasakan oleh para pihak maupun masyarakat.</w:t>
      </w:r>
    </w:p>
    <w:p w14:paraId="7CC0EA9F" w14:textId="17D69448"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Dari aspek </w:t>
      </w:r>
      <w:r w:rsidRPr="00735944">
        <w:rPr>
          <w:rFonts w:ascii="Segoe UI" w:hAnsi="Segoe UI" w:cs="Segoe UI"/>
          <w:b/>
          <w:bCs/>
          <w:sz w:val="22"/>
          <w:szCs w:val="22"/>
          <w:lang w:val="id-ID"/>
        </w:rPr>
        <w:t>kepastian hukum</w:t>
      </w:r>
      <w:r w:rsidRPr="00735944">
        <w:rPr>
          <w:rFonts w:ascii="Segoe UI" w:hAnsi="Segoe UI" w:cs="Segoe UI"/>
          <w:sz w:val="22"/>
          <w:szCs w:val="22"/>
          <w:lang w:val="id-ID"/>
        </w:rPr>
        <w:t>, putusan tersebut dapat dinilai telah memberikan dasar yang cukup jelas. Hakim menerapkan Pasal 374 KUHP setelah mempertimbangkan dakwaan primair dan menyatakan seluruh unsur yang relevan telah terpenuhi. Terdakwa kemudian dinyatakan terbukti bersalah melakukan penggelapan dalam jabatan. Dengan demikian, terdapat konsistensi antara norma yang diterapkan, fakta hukum yang dipertimbangkan, dan kesimpulan mengenai pertanggungjawaban pidana terdakwa.</w:t>
      </w:r>
    </w:p>
    <w:p w14:paraId="707C6358" w14:textId="42A02A0E"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Dari aspek </w:t>
      </w:r>
      <w:r w:rsidRPr="00735944">
        <w:rPr>
          <w:rFonts w:ascii="Segoe UI" w:hAnsi="Segoe UI" w:cs="Segoe UI"/>
          <w:b/>
          <w:bCs/>
          <w:sz w:val="22"/>
          <w:szCs w:val="22"/>
          <w:lang w:val="id-ID"/>
        </w:rPr>
        <w:t>keadilan</w:t>
      </w:r>
      <w:r w:rsidRPr="00735944">
        <w:rPr>
          <w:rFonts w:ascii="Segoe UI" w:hAnsi="Segoe UI" w:cs="Segoe UI"/>
          <w:sz w:val="22"/>
          <w:szCs w:val="22"/>
          <w:lang w:val="id-ID"/>
        </w:rPr>
        <w:t>, persoalannya terletak pada proporsionalitas pidana yang dijatuhkan. Perbuatan terdakwa tidak hanya menyangkut penguasaan uang milik perusahaan, tetapi juga dilakukan dalam konteks hubungan kerja yang memberikan kepercayaan kepada terdakwa untuk menerima pembayaran dari pelanggan dan menyerahkannya kepada perusahaan. Penyalahgunaan posisi tersebut menyebabkan perusahaan mengalami kerugian lebih dari Rp81 juta. Atas kondisi tersebut, Tugas Akhir memandang bahwa pidana penjara selama 1 tahun 10 bulan belum mencerminkan tingkat keseriusan akibat perbuatan secara optimal.</w:t>
      </w:r>
    </w:p>
    <w:p w14:paraId="3E91EC67" w14:textId="1FF66503"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Dari aspek </w:t>
      </w:r>
      <w:r w:rsidRPr="00735944">
        <w:rPr>
          <w:rFonts w:ascii="Segoe UI" w:hAnsi="Segoe UI" w:cs="Segoe UI"/>
          <w:b/>
          <w:bCs/>
          <w:sz w:val="22"/>
          <w:szCs w:val="22"/>
          <w:lang w:val="id-ID"/>
        </w:rPr>
        <w:t>kemanfaatan</w:t>
      </w:r>
      <w:r w:rsidRPr="00735944">
        <w:rPr>
          <w:rFonts w:ascii="Segoe UI" w:hAnsi="Segoe UI" w:cs="Segoe UI"/>
          <w:sz w:val="22"/>
          <w:szCs w:val="22"/>
          <w:lang w:val="id-ID"/>
        </w:rPr>
        <w:t>, pidana seharusnya tidak hanya berfungsi sebagai respons terhadap kesalahan terdakwa, tetapi juga memiliki fungsi pencegahan agar perbuatan serupa tidak kembali terjadi. Dalam konteks perkara ini, penilaian penulis Tugas Akhir bahwa hukuman tersebut belum memberikan efek jera menunjukkan adanya persoalan mengenai efektivitas pidana sebagai instrumen pencegahan. Dengan demikian, sekalipun putusan telah memenuhi aspek kepastian hukum melalui penerapan Pasal 374 KUHP, masih terdapat ruang untuk mempertanyakan apakah pidana yang dijatuhkan telah memberikan manfaat yang optimal bagi perlindungan kepentingan perusahaan dan pencegahan tindak pidana serupa.</w:t>
      </w:r>
    </w:p>
    <w:p w14:paraId="75A82CDF" w14:textId="1804AF1C"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Pandangan tersebut sejalan dengan kerangka pertimbangan hakim yang diuraikan dalam Tugas Akhir, bahwa putusan idealnya tidak hanya dibangun atas aspek yuridis normatif, tetapi juga mempertimbangkan aspek filosofis dan sosiologis. Aspek yuridis normatif berkaitan dengan penerapan ketentuan hukum, sedangkan aspek filosofis dan sosiologis berkaitan dengan keadilan serta nilai-nilai yang hidup dalam masyarakat. Dengan demikian, kepastian hukum tidak semestinya berdiri sendiri tanpa memperhatikan keadilan dan kemanfaatan.</w:t>
      </w:r>
    </w:p>
    <w:p w14:paraId="6D952517" w14:textId="63FA0C1D"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Dalam konteks perkara a quo, hakim telah berhasil memenuhi dimensi yuridis normatif dengan menyatakan terdakwa bersalah berdasarkan Pasal 374 KUHP. Namun, berdasarkan analisis yang dikembangkan dalam Tugas Akhir, penilaian terhadap pidana yang dijatuhkan menghasilkan kesimpulan yang berbeda. Ketepatan dalam menyatakan terbuktinya tindak pidana tidak secara otomatis berarti bahwa seluruh aspek putusan telah mencapai tingkat keadilan dan kemanfaatan yang optimal. Dengan kata lain, </w:t>
      </w:r>
      <w:r w:rsidRPr="00735944">
        <w:rPr>
          <w:rFonts w:ascii="Segoe UI" w:hAnsi="Segoe UI" w:cs="Segoe UI"/>
          <w:b/>
          <w:bCs/>
          <w:sz w:val="22"/>
          <w:szCs w:val="22"/>
          <w:lang w:val="id-ID"/>
        </w:rPr>
        <w:t>ketepatan kualifikasi tindak pidana dan proporsionalitas pemidanaan merupakan dua persoalan yang harus dianalisis secara terpisah</w:t>
      </w:r>
      <w:r w:rsidRPr="00735944">
        <w:rPr>
          <w:rFonts w:ascii="Segoe UI" w:hAnsi="Segoe UI" w:cs="Segoe UI"/>
          <w:sz w:val="22"/>
          <w:szCs w:val="22"/>
          <w:lang w:val="id-ID"/>
        </w:rPr>
        <w:t>.</w:t>
      </w:r>
    </w:p>
    <w:p w14:paraId="385BA34B" w14:textId="136835BC"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Hal tersebut menjadi penting karena terdakwa bukan sekadar memiliki hubungan dengan objek perkara secara kebetulan, melainkan memperoleh penguasaan terhadap uang karena kedudukannya sebagai sales perusahaan. Berdasarkan fakta persidangan, terdakwa menerima pembayaran pelanggan yang semestinya diserahkan kepada perusahaan, tetapi uang tersebut tidak disetorkan dan kemudian menimbulkan kerugian bagi perusahaan. Bahkan, fakta dalam Tugas Akhir menunjukkan bahwa uang tersebut digunakan untuk membayar pinjaman daring dan </w:t>
      </w:r>
      <w:r w:rsidRPr="00735944">
        <w:rPr>
          <w:rFonts w:ascii="Segoe UI" w:hAnsi="Segoe UI" w:cs="Segoe UI"/>
          <w:sz w:val="22"/>
          <w:szCs w:val="22"/>
          <w:lang w:val="id-ID"/>
        </w:rPr>
        <w:lastRenderedPageBreak/>
        <w:t>judi online.</w:t>
      </w:r>
      <w:r>
        <w:rPr>
          <w:rFonts w:ascii="Segoe UI" w:hAnsi="Segoe UI" w:cs="Segoe UI"/>
          <w:sz w:val="22"/>
          <w:szCs w:val="22"/>
          <w:lang w:val="id-ID"/>
        </w:rPr>
        <w:t xml:space="preserve"> </w:t>
      </w:r>
      <w:r w:rsidRPr="00735944">
        <w:rPr>
          <w:rFonts w:ascii="Segoe UI" w:hAnsi="Segoe UI" w:cs="Segoe UI"/>
          <w:sz w:val="22"/>
          <w:szCs w:val="22"/>
          <w:lang w:val="id-ID"/>
        </w:rPr>
        <w:t>Dengan demikian, perbuatan tersebut mengandung unsur penyalahgunaan kepercayaan yang melekat pada hubungan kerja.</w:t>
      </w:r>
    </w:p>
    <w:p w14:paraId="7DBA4736" w14:textId="5E15F831"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Berdasarkan keseluruhan uraian tersebut, dapat dinilai bahwa </w:t>
      </w:r>
      <w:r w:rsidRPr="00735944">
        <w:rPr>
          <w:rFonts w:ascii="Segoe UI" w:hAnsi="Segoe UI" w:cs="Segoe UI"/>
          <w:b/>
          <w:bCs/>
          <w:sz w:val="22"/>
          <w:szCs w:val="22"/>
          <w:lang w:val="id-ID"/>
        </w:rPr>
        <w:t>Putusan Pengadilan Negeri Makassar Nomor 1339/Pid.B/2023/PN Mks telah memiliki dasar yuridis yang memadai dalam menyatakan terdakwa terbukti melakukan penggelapan dalam jabatan, tetapi aspek pemidanaannya masih dapat dipersoalkan dari perspektif keadilan dan kemanfaatan</w:t>
      </w:r>
      <w:r w:rsidRPr="00735944">
        <w:rPr>
          <w:rFonts w:ascii="Segoe UI" w:hAnsi="Segoe UI" w:cs="Segoe UI"/>
          <w:sz w:val="22"/>
          <w:szCs w:val="22"/>
          <w:lang w:val="id-ID"/>
        </w:rPr>
        <w:t>. Kesimpulan ini sejalan dengan hasil analisis Tugas Akhir yang menyatakan bahwa pertimbangan hakim dalam membuktikan tindak pidana telah sesuai dengan ketentuan yang berlaku, namun pidana penjara selama 1 tahun 10 bulan dinilai terlalu ringan dan kurang memberikan efek jera.</w:t>
      </w:r>
    </w:p>
    <w:p w14:paraId="498E2861" w14:textId="781A1110"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Dengan demikian, penelitian ini menemukan adanya </w:t>
      </w:r>
      <w:r w:rsidRPr="00735944">
        <w:rPr>
          <w:rFonts w:ascii="Segoe UI" w:hAnsi="Segoe UI" w:cs="Segoe UI"/>
          <w:b/>
          <w:bCs/>
          <w:sz w:val="22"/>
          <w:szCs w:val="22"/>
          <w:lang w:val="id-ID"/>
        </w:rPr>
        <w:t>dua dimensi dalam penilaian terhadap putusan</w:t>
      </w:r>
      <w:r w:rsidRPr="00735944">
        <w:rPr>
          <w:rFonts w:ascii="Segoe UI" w:hAnsi="Segoe UI" w:cs="Segoe UI"/>
          <w:sz w:val="22"/>
          <w:szCs w:val="22"/>
          <w:lang w:val="id-ID"/>
        </w:rPr>
        <w:t>, yaitu pertama, dimensi pembuktian dan penerapan hukum yang dapat dinilai telah sesuai karena hakim berhasil menghubungkan unsur Pasal 374 KUHP dengan fakta persidangan; dan kedua, dimensi pemidanaan yang masih menyisakan persoalan mengenai proporsionalitas pidana terhadap perbuatan dan akibat yang ditimbulkan. Pemisahan kedua dimensi tersebut penting agar analisis terhadap putusan tidak bersifat hitam-putih, melainkan mampu menunjukkan bagian putusan yang telah tepat sekaligus bagian yang masih dapat dikritisi secara akademik.</w:t>
      </w:r>
    </w:p>
    <w:p w14:paraId="511DC063" w14:textId="77777777" w:rsidR="001E0508" w:rsidRPr="00EA7E75" w:rsidRDefault="00985560" w:rsidP="00985560">
      <w:pPr>
        <w:pStyle w:val="Heading3"/>
        <w:ind w:left="993" w:hanging="426"/>
      </w:pPr>
      <w:r>
        <w:t>KESIMPULAN</w:t>
      </w:r>
    </w:p>
    <w:p w14:paraId="61BFF92E" w14:textId="2A17E67C"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Berdasarkan hasil penelitian dan pembahasan mengenai </w:t>
      </w:r>
      <w:r w:rsidRPr="00735944">
        <w:rPr>
          <w:rFonts w:ascii="Segoe UI" w:hAnsi="Segoe UI" w:cs="Segoe UI"/>
          <w:b/>
          <w:bCs/>
          <w:sz w:val="22"/>
          <w:szCs w:val="22"/>
          <w:lang w:val="id-ID"/>
        </w:rPr>
        <w:t>Pertimbangan Hukum Hakim dalam Penggelapan dengan Pemberatan Berdasarkan Putusan Pengadilan Negeri Makassar Nomor 1339/Pid.B/2023/PN Mks</w:t>
      </w:r>
      <w:r w:rsidRPr="00735944">
        <w:rPr>
          <w:rFonts w:ascii="Segoe UI" w:hAnsi="Segoe UI" w:cs="Segoe UI"/>
          <w:sz w:val="22"/>
          <w:szCs w:val="22"/>
          <w:lang w:val="id-ID"/>
        </w:rPr>
        <w:t>, dapat disimpulkan bahwa pertimbangan hukum hakim dalam menyatakan terdakwa terbukti melakukan tindak pidana penggelapan dalam jabatan pada dasarnya telah sesuai dengan ketentuan hukum yang diterapkan. Majelis Hakim mempertimbangkan dakwaan primair berdasarkan Pasal 374 KUHP dengan menguji unsur “barang siapa” serta unsur dengan sengaja dan melawan hukum menguasai barang milik orang lain yang berada dalam kekuasaannya karena hubungan kerja. Pertimbangan tersebut didasarkan pada fakta persidangan yang menunjukkan bahwa terdakwa memperoleh penguasaan terhadap uang melalui kedudukannya sebagai sales, menerima pembayaran dari pelanggan, tetapi tidak menyerahkannya kepada perusahaan sehingga menimbulkan kerugian.</w:t>
      </w:r>
    </w:p>
    <w:p w14:paraId="44FF07C9" w14:textId="08AE22D7" w:rsid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Adapun terhadap pidana yang dijatuhkan, terdakwa dinyatakan terbukti secara sah dan meyakinkan melakukan tindak pidana penggelapan dalam jabatan dan dijatuhi pidana penjara selama </w:t>
      </w:r>
      <w:r w:rsidRPr="00735944">
        <w:rPr>
          <w:rFonts w:ascii="Segoe UI" w:hAnsi="Segoe UI" w:cs="Segoe UI"/>
          <w:b/>
          <w:bCs/>
          <w:sz w:val="22"/>
          <w:szCs w:val="22"/>
          <w:lang w:val="id-ID"/>
        </w:rPr>
        <w:t>1 (satu) tahun 10 (sepuluh) bulan</w:t>
      </w:r>
      <w:r w:rsidRPr="00735944">
        <w:rPr>
          <w:rFonts w:ascii="Segoe UI" w:hAnsi="Segoe UI" w:cs="Segoe UI"/>
          <w:sz w:val="22"/>
          <w:szCs w:val="22"/>
          <w:lang w:val="id-ID"/>
        </w:rPr>
        <w:t xml:space="preserve">. Secara yuridis, putusan tersebut telah memberikan dasar pertanggungjawaban pidana yang jelas. Namun, dari perspektif keadilan dan kemanfaatan, pidana yang dijatuhkan masih dapat dipersoalkan karena dalam perkara ini timbul kerugian perusahaan sebesar </w:t>
      </w:r>
      <w:r w:rsidRPr="00735944">
        <w:rPr>
          <w:rFonts w:ascii="Segoe UI" w:hAnsi="Segoe UI" w:cs="Segoe UI"/>
          <w:b/>
          <w:bCs/>
          <w:sz w:val="22"/>
          <w:szCs w:val="22"/>
          <w:lang w:val="id-ID"/>
        </w:rPr>
        <w:t>Rp81.658.953,00</w:t>
      </w:r>
      <w:r w:rsidRPr="00735944">
        <w:rPr>
          <w:rFonts w:ascii="Segoe UI" w:hAnsi="Segoe UI" w:cs="Segoe UI"/>
          <w:sz w:val="22"/>
          <w:szCs w:val="22"/>
          <w:lang w:val="id-ID"/>
        </w:rPr>
        <w:t>, sedangkan Tugas Akhir menilai pidana tersebut relatif ringan dan belum memberikan efek jera yang optimal bagi pelaku maupun masyarakat.</w:t>
      </w:r>
    </w:p>
    <w:p w14:paraId="00DC48B1" w14:textId="67AFB4FB" w:rsidR="00735944" w:rsidRPr="00735944" w:rsidRDefault="00735944">
      <w:pPr>
        <w:pStyle w:val="IEEEParagraph"/>
        <w:ind w:left="567" w:right="322" w:firstLine="567"/>
        <w:rPr>
          <w:rFonts w:ascii="Segoe UI" w:hAnsi="Segoe UI" w:cs="Segoe UI"/>
          <w:sz w:val="22"/>
          <w:szCs w:val="22"/>
          <w:lang w:val="id-ID"/>
        </w:rPr>
      </w:pPr>
      <w:r w:rsidRPr="00735944">
        <w:rPr>
          <w:rFonts w:ascii="Segoe UI" w:hAnsi="Segoe UI" w:cs="Segoe UI"/>
          <w:sz w:val="22"/>
          <w:szCs w:val="22"/>
          <w:lang w:val="id-ID"/>
        </w:rPr>
        <w:t xml:space="preserve">Dengan demikian, penelitian ini menunjukkan bahwa </w:t>
      </w:r>
      <w:r w:rsidRPr="00735944">
        <w:rPr>
          <w:rFonts w:ascii="Segoe UI" w:hAnsi="Segoe UI" w:cs="Segoe UI"/>
          <w:b/>
          <w:bCs/>
          <w:sz w:val="22"/>
          <w:szCs w:val="22"/>
          <w:lang w:val="id-ID"/>
        </w:rPr>
        <w:t>ketepatan dalam pembuktian tindak pidana tidak selalu identik dengan optimalnya pemidanaan</w:t>
      </w:r>
      <w:r w:rsidRPr="00735944">
        <w:rPr>
          <w:rFonts w:ascii="Segoe UI" w:hAnsi="Segoe UI" w:cs="Segoe UI"/>
          <w:sz w:val="22"/>
          <w:szCs w:val="22"/>
          <w:lang w:val="id-ID"/>
        </w:rPr>
        <w:t>. Pertimbangan hakim dalam membuktikan unsur penggelapan dalam jabatan telah memiliki dasar hukum dan fakta yang memadai, tetapi penentuan berat-ringannya pidana tetap perlu mempertimbangkan keseimbangan antara kepastian hukum, keadilan, dan kemanfaatan sehingga putusan tidak hanya sah secara yuridis, tetapi juga proporsional terhadap perbuatan dan akibat yang ditimbulkannya.</w:t>
      </w:r>
    </w:p>
    <w:p w14:paraId="75E6E23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159C6661" w14:textId="4EA8A4EB" w:rsidR="00735944" w:rsidRDefault="00735944">
      <w:pPr>
        <w:widowControl w:val="0"/>
        <w:autoSpaceDE w:val="0"/>
        <w:autoSpaceDN w:val="0"/>
        <w:adjustRightInd w:val="0"/>
        <w:spacing w:after="0" w:line="240" w:lineRule="auto"/>
        <w:ind w:left="1418" w:right="646" w:hanging="851"/>
        <w:contextualSpacing/>
        <w:jc w:val="left"/>
        <w:rPr>
          <w:rFonts w:cs="Segoe UI"/>
          <w:sz w:val="20"/>
          <w:szCs w:val="20"/>
        </w:rPr>
      </w:pPr>
      <w:r w:rsidRPr="00735944">
        <w:rPr>
          <w:rFonts w:cs="Segoe UI"/>
          <w:sz w:val="20"/>
          <w:szCs w:val="20"/>
        </w:rPr>
        <w:lastRenderedPageBreak/>
        <w:t xml:space="preserve">Aqil, N. A., Putri, C. M., &amp; Yunisa, D. (2022). Evaluasi sistem </w:t>
      </w:r>
      <w:r w:rsidRPr="00735944">
        <w:rPr>
          <w:rFonts w:cs="Segoe UI"/>
          <w:i/>
          <w:iCs/>
          <w:sz w:val="20"/>
          <w:szCs w:val="20"/>
        </w:rPr>
        <w:t>cash on delivery</w:t>
      </w:r>
      <w:r w:rsidRPr="00735944">
        <w:rPr>
          <w:rFonts w:cs="Segoe UI"/>
          <w:sz w:val="20"/>
          <w:szCs w:val="20"/>
        </w:rPr>
        <w:t xml:space="preserve"> demi meningkatkan kepastian hukum dalam perkembangan transaksi elektronik di Indonesia. </w:t>
      </w:r>
      <w:r w:rsidRPr="00735944">
        <w:rPr>
          <w:rFonts w:cs="Segoe UI"/>
          <w:i/>
          <w:iCs/>
          <w:sz w:val="20"/>
          <w:szCs w:val="20"/>
        </w:rPr>
        <w:t>Ikatan Penulis Mahasiswa Hukum Indonesia Law Journal</w:t>
      </w:r>
      <w:r w:rsidRPr="00735944">
        <w:rPr>
          <w:rFonts w:cs="Segoe UI"/>
          <w:sz w:val="20"/>
          <w:szCs w:val="20"/>
        </w:rPr>
        <w:t>.</w:t>
      </w:r>
    </w:p>
    <w:p w14:paraId="3DCA96E9" w14:textId="77777777" w:rsidR="00735944" w:rsidRPr="00024C64" w:rsidRDefault="00735944" w:rsidP="00735944">
      <w:pPr>
        <w:widowControl w:val="0"/>
        <w:autoSpaceDE w:val="0"/>
        <w:autoSpaceDN w:val="0"/>
        <w:adjustRightInd w:val="0"/>
        <w:spacing w:after="0" w:line="240" w:lineRule="auto"/>
        <w:ind w:left="1418" w:right="646" w:hanging="851"/>
        <w:contextualSpacing/>
        <w:jc w:val="left"/>
        <w:rPr>
          <w:rFonts w:cs="Segoe UI"/>
          <w:sz w:val="20"/>
          <w:szCs w:val="20"/>
        </w:rPr>
      </w:pPr>
      <w:r w:rsidRPr="00024C64">
        <w:rPr>
          <w:rFonts w:cs="Segoe UI"/>
          <w:sz w:val="20"/>
          <w:szCs w:val="20"/>
        </w:rPr>
        <w:t xml:space="preserve">Hartanti, D. N., Titahelu, J. A. S., &amp; Taufik, I. (2021). Penerapan sanksi bagi pelaku tindak pidana penggelapan uang </w:t>
      </w:r>
      <w:r w:rsidRPr="00024C64">
        <w:rPr>
          <w:rFonts w:cs="Segoe UI"/>
          <w:i/>
          <w:iCs/>
          <w:sz w:val="20"/>
          <w:szCs w:val="20"/>
        </w:rPr>
        <w:t>cash on delivery</w:t>
      </w:r>
      <w:r w:rsidRPr="00024C64">
        <w:rPr>
          <w:rFonts w:cs="Segoe UI"/>
          <w:sz w:val="20"/>
          <w:szCs w:val="20"/>
        </w:rPr>
        <w:t xml:space="preserve"> dalam Putusan Pengadilan Nomor 139/Pid.B/2020/PN.Amb. </w:t>
      </w:r>
      <w:r w:rsidRPr="00024C64">
        <w:rPr>
          <w:rFonts w:cs="Segoe UI"/>
          <w:i/>
          <w:iCs/>
          <w:sz w:val="20"/>
          <w:szCs w:val="20"/>
        </w:rPr>
        <w:t>TATOHI: Jurnal Ilmu Hukum, 1</w:t>
      </w:r>
      <w:r w:rsidRPr="00024C64">
        <w:rPr>
          <w:rFonts w:cs="Segoe UI"/>
          <w:sz w:val="20"/>
          <w:szCs w:val="20"/>
        </w:rPr>
        <w:t>.</w:t>
      </w:r>
    </w:p>
    <w:p w14:paraId="200C33F3" w14:textId="77777777" w:rsidR="00735944" w:rsidRPr="00735944" w:rsidRDefault="00735944" w:rsidP="00735944">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735944">
        <w:rPr>
          <w:rFonts w:cs="Segoe UI"/>
          <w:sz w:val="20"/>
          <w:szCs w:val="20"/>
          <w:lang w:val="sv-SE"/>
        </w:rPr>
        <w:t xml:space="preserve">Ilyas, A., &amp; </w:t>
      </w:r>
      <w:proofErr w:type="spellStart"/>
      <w:r w:rsidRPr="00735944">
        <w:rPr>
          <w:rFonts w:cs="Segoe UI"/>
          <w:sz w:val="20"/>
          <w:szCs w:val="20"/>
          <w:lang w:val="sv-SE"/>
        </w:rPr>
        <w:t>Nursal</w:t>
      </w:r>
      <w:proofErr w:type="spellEnd"/>
      <w:r w:rsidRPr="00735944">
        <w:rPr>
          <w:rFonts w:cs="Segoe UI"/>
          <w:sz w:val="20"/>
          <w:szCs w:val="20"/>
          <w:lang w:val="sv-SE"/>
        </w:rPr>
        <w:t xml:space="preserve">, M. (2022). </w:t>
      </w:r>
      <w:proofErr w:type="spellStart"/>
      <w:r w:rsidRPr="00735944">
        <w:rPr>
          <w:rFonts w:cs="Segoe UI"/>
          <w:i/>
          <w:iCs/>
          <w:sz w:val="20"/>
          <w:szCs w:val="20"/>
          <w:lang w:val="sv-SE"/>
        </w:rPr>
        <w:t>Kumpulan</w:t>
      </w:r>
      <w:proofErr w:type="spellEnd"/>
      <w:r w:rsidRPr="00735944">
        <w:rPr>
          <w:rFonts w:cs="Segoe UI"/>
          <w:i/>
          <w:iCs/>
          <w:sz w:val="20"/>
          <w:szCs w:val="20"/>
          <w:lang w:val="sv-SE"/>
        </w:rPr>
        <w:t xml:space="preserve"> asas </w:t>
      </w:r>
      <w:proofErr w:type="spellStart"/>
      <w:r w:rsidRPr="00735944">
        <w:rPr>
          <w:rFonts w:cs="Segoe UI"/>
          <w:i/>
          <w:iCs/>
          <w:sz w:val="20"/>
          <w:szCs w:val="20"/>
          <w:lang w:val="sv-SE"/>
        </w:rPr>
        <w:t>hukum</w:t>
      </w:r>
      <w:proofErr w:type="spellEnd"/>
      <w:r w:rsidRPr="00735944">
        <w:rPr>
          <w:rFonts w:cs="Segoe UI"/>
          <w:sz w:val="20"/>
          <w:szCs w:val="20"/>
          <w:lang w:val="sv-SE"/>
        </w:rPr>
        <w:t xml:space="preserve">. </w:t>
      </w:r>
      <w:proofErr w:type="spellStart"/>
      <w:r w:rsidRPr="00735944">
        <w:rPr>
          <w:rFonts w:cs="Segoe UI"/>
          <w:sz w:val="20"/>
          <w:szCs w:val="20"/>
          <w:lang w:val="sv-SE"/>
        </w:rPr>
        <w:t>Kencana</w:t>
      </w:r>
      <w:proofErr w:type="spellEnd"/>
      <w:r w:rsidRPr="00735944">
        <w:rPr>
          <w:rFonts w:cs="Segoe UI"/>
          <w:sz w:val="20"/>
          <w:szCs w:val="20"/>
          <w:lang w:val="sv-SE"/>
        </w:rPr>
        <w:t>.</w:t>
      </w:r>
    </w:p>
    <w:p w14:paraId="0F31B9D0" w14:textId="77777777" w:rsidR="00735944" w:rsidRPr="00735944" w:rsidRDefault="00735944" w:rsidP="00735944">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735944">
        <w:rPr>
          <w:rFonts w:cs="Segoe UI"/>
          <w:sz w:val="20"/>
          <w:szCs w:val="20"/>
          <w:lang w:val="sv-SE"/>
        </w:rPr>
        <w:t>Efendi</w:t>
      </w:r>
      <w:proofErr w:type="spellEnd"/>
      <w:r w:rsidRPr="00735944">
        <w:rPr>
          <w:rFonts w:cs="Segoe UI"/>
          <w:sz w:val="20"/>
          <w:szCs w:val="20"/>
          <w:lang w:val="sv-SE"/>
        </w:rPr>
        <w:t xml:space="preserve">, J. (2019). </w:t>
      </w:r>
      <w:proofErr w:type="spellStart"/>
      <w:r w:rsidRPr="00735944">
        <w:rPr>
          <w:rFonts w:cs="Segoe UI"/>
          <w:i/>
          <w:iCs/>
          <w:sz w:val="20"/>
          <w:szCs w:val="20"/>
          <w:lang w:val="sv-SE"/>
        </w:rPr>
        <w:t>Rekonstruksi</w:t>
      </w:r>
      <w:proofErr w:type="spellEnd"/>
      <w:r w:rsidRPr="00735944">
        <w:rPr>
          <w:rFonts w:cs="Segoe UI"/>
          <w:i/>
          <w:iCs/>
          <w:sz w:val="20"/>
          <w:szCs w:val="20"/>
          <w:lang w:val="sv-SE"/>
        </w:rPr>
        <w:t xml:space="preserve"> dasar </w:t>
      </w:r>
      <w:proofErr w:type="spellStart"/>
      <w:r w:rsidRPr="00735944">
        <w:rPr>
          <w:rFonts w:cs="Segoe UI"/>
          <w:i/>
          <w:iCs/>
          <w:sz w:val="20"/>
          <w:szCs w:val="20"/>
          <w:lang w:val="sv-SE"/>
        </w:rPr>
        <w:t>pertimbangan</w:t>
      </w:r>
      <w:proofErr w:type="spellEnd"/>
      <w:r w:rsidRPr="00735944">
        <w:rPr>
          <w:rFonts w:cs="Segoe UI"/>
          <w:i/>
          <w:iCs/>
          <w:sz w:val="20"/>
          <w:szCs w:val="20"/>
          <w:lang w:val="sv-SE"/>
        </w:rPr>
        <w:t xml:space="preserve"> </w:t>
      </w:r>
      <w:proofErr w:type="spellStart"/>
      <w:r w:rsidRPr="00735944">
        <w:rPr>
          <w:rFonts w:cs="Segoe UI"/>
          <w:i/>
          <w:iCs/>
          <w:sz w:val="20"/>
          <w:szCs w:val="20"/>
          <w:lang w:val="sv-SE"/>
        </w:rPr>
        <w:t>hukum</w:t>
      </w:r>
      <w:proofErr w:type="spellEnd"/>
      <w:r w:rsidRPr="00735944">
        <w:rPr>
          <w:rFonts w:cs="Segoe UI"/>
          <w:i/>
          <w:iCs/>
          <w:sz w:val="20"/>
          <w:szCs w:val="20"/>
          <w:lang w:val="sv-SE"/>
        </w:rPr>
        <w:t xml:space="preserve"> </w:t>
      </w:r>
      <w:proofErr w:type="spellStart"/>
      <w:r w:rsidRPr="00735944">
        <w:rPr>
          <w:rFonts w:cs="Segoe UI"/>
          <w:i/>
          <w:iCs/>
          <w:sz w:val="20"/>
          <w:szCs w:val="20"/>
          <w:lang w:val="sv-SE"/>
        </w:rPr>
        <w:t>hakim</w:t>
      </w:r>
      <w:proofErr w:type="spellEnd"/>
      <w:r w:rsidRPr="00735944">
        <w:rPr>
          <w:rFonts w:cs="Segoe UI"/>
          <w:i/>
          <w:iCs/>
          <w:sz w:val="20"/>
          <w:szCs w:val="20"/>
          <w:lang w:val="sv-SE"/>
        </w:rPr>
        <w:t xml:space="preserve"> </w:t>
      </w:r>
      <w:proofErr w:type="spellStart"/>
      <w:r w:rsidRPr="00735944">
        <w:rPr>
          <w:rFonts w:cs="Segoe UI"/>
          <w:i/>
          <w:iCs/>
          <w:sz w:val="20"/>
          <w:szCs w:val="20"/>
          <w:lang w:val="sv-SE"/>
        </w:rPr>
        <w:t>berbasis</w:t>
      </w:r>
      <w:proofErr w:type="spellEnd"/>
      <w:r w:rsidRPr="00735944">
        <w:rPr>
          <w:rFonts w:cs="Segoe UI"/>
          <w:i/>
          <w:iCs/>
          <w:sz w:val="20"/>
          <w:szCs w:val="20"/>
          <w:lang w:val="sv-SE"/>
        </w:rPr>
        <w:t xml:space="preserve"> </w:t>
      </w:r>
      <w:proofErr w:type="spellStart"/>
      <w:r w:rsidRPr="00735944">
        <w:rPr>
          <w:rFonts w:cs="Segoe UI"/>
          <w:i/>
          <w:iCs/>
          <w:sz w:val="20"/>
          <w:szCs w:val="20"/>
          <w:lang w:val="sv-SE"/>
        </w:rPr>
        <w:t>nilai-nilai</w:t>
      </w:r>
      <w:proofErr w:type="spellEnd"/>
      <w:r w:rsidRPr="00735944">
        <w:rPr>
          <w:rFonts w:cs="Segoe UI"/>
          <w:i/>
          <w:iCs/>
          <w:sz w:val="20"/>
          <w:szCs w:val="20"/>
          <w:lang w:val="sv-SE"/>
        </w:rPr>
        <w:t xml:space="preserve"> </w:t>
      </w:r>
      <w:proofErr w:type="spellStart"/>
      <w:r w:rsidRPr="00735944">
        <w:rPr>
          <w:rFonts w:cs="Segoe UI"/>
          <w:i/>
          <w:iCs/>
          <w:sz w:val="20"/>
          <w:szCs w:val="20"/>
          <w:lang w:val="sv-SE"/>
        </w:rPr>
        <w:t>hukum</w:t>
      </w:r>
      <w:proofErr w:type="spellEnd"/>
      <w:r w:rsidRPr="00735944">
        <w:rPr>
          <w:rFonts w:cs="Segoe UI"/>
          <w:i/>
          <w:iCs/>
          <w:sz w:val="20"/>
          <w:szCs w:val="20"/>
          <w:lang w:val="sv-SE"/>
        </w:rPr>
        <w:t xml:space="preserve"> dan rasa </w:t>
      </w:r>
      <w:proofErr w:type="spellStart"/>
      <w:r w:rsidRPr="00735944">
        <w:rPr>
          <w:rFonts w:cs="Segoe UI"/>
          <w:i/>
          <w:iCs/>
          <w:sz w:val="20"/>
          <w:szCs w:val="20"/>
          <w:lang w:val="sv-SE"/>
        </w:rPr>
        <w:t>keadilan</w:t>
      </w:r>
      <w:proofErr w:type="spellEnd"/>
      <w:r w:rsidRPr="00735944">
        <w:rPr>
          <w:rFonts w:cs="Segoe UI"/>
          <w:i/>
          <w:iCs/>
          <w:sz w:val="20"/>
          <w:szCs w:val="20"/>
          <w:lang w:val="sv-SE"/>
        </w:rPr>
        <w:t xml:space="preserve"> yang </w:t>
      </w:r>
      <w:proofErr w:type="spellStart"/>
      <w:r w:rsidRPr="00735944">
        <w:rPr>
          <w:rFonts w:cs="Segoe UI"/>
          <w:i/>
          <w:iCs/>
          <w:sz w:val="20"/>
          <w:szCs w:val="20"/>
          <w:lang w:val="sv-SE"/>
        </w:rPr>
        <w:t>hidup</w:t>
      </w:r>
      <w:proofErr w:type="spellEnd"/>
      <w:r w:rsidRPr="00735944">
        <w:rPr>
          <w:rFonts w:cs="Segoe UI"/>
          <w:i/>
          <w:iCs/>
          <w:sz w:val="20"/>
          <w:szCs w:val="20"/>
          <w:lang w:val="sv-SE"/>
        </w:rPr>
        <w:t xml:space="preserve"> </w:t>
      </w:r>
      <w:proofErr w:type="spellStart"/>
      <w:r w:rsidRPr="00735944">
        <w:rPr>
          <w:rFonts w:cs="Segoe UI"/>
          <w:i/>
          <w:iCs/>
          <w:sz w:val="20"/>
          <w:szCs w:val="20"/>
          <w:lang w:val="sv-SE"/>
        </w:rPr>
        <w:t>dalam</w:t>
      </w:r>
      <w:proofErr w:type="spellEnd"/>
      <w:r w:rsidRPr="00735944">
        <w:rPr>
          <w:rFonts w:cs="Segoe UI"/>
          <w:i/>
          <w:iCs/>
          <w:sz w:val="20"/>
          <w:szCs w:val="20"/>
          <w:lang w:val="sv-SE"/>
        </w:rPr>
        <w:t xml:space="preserve"> </w:t>
      </w:r>
      <w:proofErr w:type="spellStart"/>
      <w:r w:rsidRPr="00735944">
        <w:rPr>
          <w:rFonts w:cs="Segoe UI"/>
          <w:i/>
          <w:iCs/>
          <w:sz w:val="20"/>
          <w:szCs w:val="20"/>
          <w:lang w:val="sv-SE"/>
        </w:rPr>
        <w:t>masyarakat</w:t>
      </w:r>
      <w:proofErr w:type="spellEnd"/>
      <w:r w:rsidRPr="00735944">
        <w:rPr>
          <w:rFonts w:cs="Segoe UI"/>
          <w:sz w:val="20"/>
          <w:szCs w:val="20"/>
          <w:lang w:val="sv-SE"/>
        </w:rPr>
        <w:t xml:space="preserve">. </w:t>
      </w:r>
      <w:proofErr w:type="spellStart"/>
      <w:r w:rsidRPr="00735944">
        <w:rPr>
          <w:rFonts w:cs="Segoe UI"/>
          <w:sz w:val="20"/>
          <w:szCs w:val="20"/>
          <w:lang w:val="sv-SE"/>
        </w:rPr>
        <w:t>Rajagrafindo</w:t>
      </w:r>
      <w:proofErr w:type="spellEnd"/>
      <w:r w:rsidRPr="00735944">
        <w:rPr>
          <w:rFonts w:cs="Segoe UI"/>
          <w:sz w:val="20"/>
          <w:szCs w:val="20"/>
          <w:lang w:val="sv-SE"/>
        </w:rPr>
        <w:t xml:space="preserve"> </w:t>
      </w:r>
      <w:proofErr w:type="spellStart"/>
      <w:r w:rsidRPr="00735944">
        <w:rPr>
          <w:rFonts w:cs="Segoe UI"/>
          <w:sz w:val="20"/>
          <w:szCs w:val="20"/>
          <w:lang w:val="sv-SE"/>
        </w:rPr>
        <w:t>Persada</w:t>
      </w:r>
      <w:proofErr w:type="spellEnd"/>
      <w:r w:rsidRPr="00735944">
        <w:rPr>
          <w:rFonts w:cs="Segoe UI"/>
          <w:sz w:val="20"/>
          <w:szCs w:val="20"/>
          <w:lang w:val="sv-SE"/>
        </w:rPr>
        <w:t>.</w:t>
      </w:r>
    </w:p>
    <w:p w14:paraId="01B20D73" w14:textId="77777777" w:rsidR="00735944" w:rsidRPr="00735944" w:rsidRDefault="00735944" w:rsidP="00735944">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735944">
        <w:rPr>
          <w:rFonts w:cs="Segoe UI"/>
          <w:sz w:val="20"/>
          <w:szCs w:val="20"/>
          <w:lang w:val="sv-SE"/>
        </w:rPr>
        <w:t>Gunadi</w:t>
      </w:r>
      <w:proofErr w:type="spellEnd"/>
      <w:r w:rsidRPr="00735944">
        <w:rPr>
          <w:rFonts w:cs="Segoe UI"/>
          <w:sz w:val="20"/>
          <w:szCs w:val="20"/>
          <w:lang w:val="sv-SE"/>
        </w:rPr>
        <w:t xml:space="preserve">, I., &amp; </w:t>
      </w:r>
      <w:proofErr w:type="spellStart"/>
      <w:r w:rsidRPr="00735944">
        <w:rPr>
          <w:rFonts w:cs="Segoe UI"/>
          <w:sz w:val="20"/>
          <w:szCs w:val="20"/>
          <w:lang w:val="sv-SE"/>
        </w:rPr>
        <w:t>Efendi</w:t>
      </w:r>
      <w:proofErr w:type="spellEnd"/>
      <w:r w:rsidRPr="00735944">
        <w:rPr>
          <w:rFonts w:cs="Segoe UI"/>
          <w:sz w:val="20"/>
          <w:szCs w:val="20"/>
          <w:lang w:val="sv-SE"/>
        </w:rPr>
        <w:t xml:space="preserve">, J. (2019). </w:t>
      </w:r>
      <w:proofErr w:type="spellStart"/>
      <w:r w:rsidRPr="00735944">
        <w:rPr>
          <w:rFonts w:cs="Segoe UI"/>
          <w:i/>
          <w:iCs/>
          <w:sz w:val="20"/>
          <w:szCs w:val="20"/>
          <w:lang w:val="sv-SE"/>
        </w:rPr>
        <w:t>Cepat</w:t>
      </w:r>
      <w:proofErr w:type="spellEnd"/>
      <w:r w:rsidRPr="00735944">
        <w:rPr>
          <w:rFonts w:cs="Segoe UI"/>
          <w:i/>
          <w:iCs/>
          <w:sz w:val="20"/>
          <w:szCs w:val="20"/>
          <w:lang w:val="sv-SE"/>
        </w:rPr>
        <w:t xml:space="preserve"> &amp; </w:t>
      </w:r>
      <w:proofErr w:type="spellStart"/>
      <w:r w:rsidRPr="00735944">
        <w:rPr>
          <w:rFonts w:cs="Segoe UI"/>
          <w:i/>
          <w:iCs/>
          <w:sz w:val="20"/>
          <w:szCs w:val="20"/>
          <w:lang w:val="sv-SE"/>
        </w:rPr>
        <w:t>mudah</w:t>
      </w:r>
      <w:proofErr w:type="spellEnd"/>
      <w:r w:rsidRPr="00735944">
        <w:rPr>
          <w:rFonts w:cs="Segoe UI"/>
          <w:i/>
          <w:iCs/>
          <w:sz w:val="20"/>
          <w:szCs w:val="20"/>
          <w:lang w:val="sv-SE"/>
        </w:rPr>
        <w:t xml:space="preserve"> </w:t>
      </w:r>
      <w:proofErr w:type="spellStart"/>
      <w:r w:rsidRPr="00735944">
        <w:rPr>
          <w:rFonts w:cs="Segoe UI"/>
          <w:i/>
          <w:iCs/>
          <w:sz w:val="20"/>
          <w:szCs w:val="20"/>
          <w:lang w:val="sv-SE"/>
        </w:rPr>
        <w:t>memahami</w:t>
      </w:r>
      <w:proofErr w:type="spellEnd"/>
      <w:r w:rsidRPr="00735944">
        <w:rPr>
          <w:rFonts w:cs="Segoe UI"/>
          <w:i/>
          <w:iCs/>
          <w:sz w:val="20"/>
          <w:szCs w:val="20"/>
          <w:lang w:val="sv-SE"/>
        </w:rPr>
        <w:t xml:space="preserve"> </w:t>
      </w:r>
      <w:proofErr w:type="spellStart"/>
      <w:r w:rsidRPr="00735944">
        <w:rPr>
          <w:rFonts w:cs="Segoe UI"/>
          <w:i/>
          <w:iCs/>
          <w:sz w:val="20"/>
          <w:szCs w:val="20"/>
          <w:lang w:val="sv-SE"/>
        </w:rPr>
        <w:t>hukum</w:t>
      </w:r>
      <w:proofErr w:type="spellEnd"/>
      <w:r w:rsidRPr="00735944">
        <w:rPr>
          <w:rFonts w:cs="Segoe UI"/>
          <w:i/>
          <w:iCs/>
          <w:sz w:val="20"/>
          <w:szCs w:val="20"/>
          <w:lang w:val="sv-SE"/>
        </w:rPr>
        <w:t xml:space="preserve"> </w:t>
      </w:r>
      <w:proofErr w:type="spellStart"/>
      <w:r w:rsidRPr="00735944">
        <w:rPr>
          <w:rFonts w:cs="Segoe UI"/>
          <w:i/>
          <w:iCs/>
          <w:sz w:val="20"/>
          <w:szCs w:val="20"/>
          <w:lang w:val="sv-SE"/>
        </w:rPr>
        <w:t>pidana</w:t>
      </w:r>
      <w:proofErr w:type="spellEnd"/>
      <w:r w:rsidRPr="00735944">
        <w:rPr>
          <w:rFonts w:cs="Segoe UI"/>
          <w:sz w:val="20"/>
          <w:szCs w:val="20"/>
          <w:lang w:val="sv-SE"/>
        </w:rPr>
        <w:t xml:space="preserve">. </w:t>
      </w:r>
      <w:proofErr w:type="spellStart"/>
      <w:r w:rsidRPr="00735944">
        <w:rPr>
          <w:rFonts w:cs="Segoe UI"/>
          <w:sz w:val="20"/>
          <w:szCs w:val="20"/>
          <w:lang w:val="en-ID"/>
        </w:rPr>
        <w:t>Prenadamedia</w:t>
      </w:r>
      <w:proofErr w:type="spellEnd"/>
      <w:r w:rsidRPr="00735944">
        <w:rPr>
          <w:rFonts w:cs="Segoe UI"/>
          <w:sz w:val="20"/>
          <w:szCs w:val="20"/>
          <w:lang w:val="en-ID"/>
        </w:rPr>
        <w:t xml:space="preserve"> Group.</w:t>
      </w:r>
    </w:p>
    <w:p w14:paraId="26BAA0B0" w14:textId="77777777" w:rsidR="00735944" w:rsidRPr="00735944" w:rsidRDefault="00735944" w:rsidP="00735944">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735944">
        <w:rPr>
          <w:rFonts w:cs="Segoe UI"/>
          <w:sz w:val="20"/>
          <w:szCs w:val="20"/>
          <w:lang w:val="en-ID"/>
        </w:rPr>
        <w:t xml:space="preserve">Rofka, A. A. (2022). </w:t>
      </w:r>
      <w:proofErr w:type="spellStart"/>
      <w:r w:rsidRPr="00735944">
        <w:rPr>
          <w:rFonts w:cs="Segoe UI"/>
          <w:sz w:val="20"/>
          <w:szCs w:val="20"/>
          <w:lang w:val="en-ID"/>
        </w:rPr>
        <w:t>Penyelesaian</w:t>
      </w:r>
      <w:proofErr w:type="spellEnd"/>
      <w:r w:rsidRPr="00735944">
        <w:rPr>
          <w:rFonts w:cs="Segoe UI"/>
          <w:sz w:val="20"/>
          <w:szCs w:val="20"/>
          <w:lang w:val="en-ID"/>
        </w:rPr>
        <w:t xml:space="preserve"> </w:t>
      </w:r>
      <w:proofErr w:type="spellStart"/>
      <w:r w:rsidRPr="00735944">
        <w:rPr>
          <w:rFonts w:cs="Segoe UI"/>
          <w:sz w:val="20"/>
          <w:szCs w:val="20"/>
          <w:lang w:val="en-ID"/>
        </w:rPr>
        <w:t>sengketa</w:t>
      </w:r>
      <w:proofErr w:type="spellEnd"/>
      <w:r w:rsidRPr="00735944">
        <w:rPr>
          <w:rFonts w:cs="Segoe UI"/>
          <w:sz w:val="20"/>
          <w:szCs w:val="20"/>
          <w:lang w:val="en-ID"/>
        </w:rPr>
        <w:t xml:space="preserve"> </w:t>
      </w:r>
      <w:proofErr w:type="spellStart"/>
      <w:r w:rsidRPr="00735944">
        <w:rPr>
          <w:rFonts w:cs="Segoe UI"/>
          <w:sz w:val="20"/>
          <w:szCs w:val="20"/>
          <w:lang w:val="en-ID"/>
        </w:rPr>
        <w:t>sistem</w:t>
      </w:r>
      <w:proofErr w:type="spellEnd"/>
      <w:r w:rsidRPr="00735944">
        <w:rPr>
          <w:rFonts w:cs="Segoe UI"/>
          <w:sz w:val="20"/>
          <w:szCs w:val="20"/>
          <w:lang w:val="en-ID"/>
        </w:rPr>
        <w:t xml:space="preserve"> </w:t>
      </w:r>
      <w:proofErr w:type="spellStart"/>
      <w:r w:rsidRPr="00735944">
        <w:rPr>
          <w:rFonts w:cs="Segoe UI"/>
          <w:sz w:val="20"/>
          <w:szCs w:val="20"/>
          <w:lang w:val="en-ID"/>
        </w:rPr>
        <w:t>pembayaran</w:t>
      </w:r>
      <w:proofErr w:type="spellEnd"/>
      <w:r w:rsidRPr="00735944">
        <w:rPr>
          <w:rFonts w:cs="Segoe UI"/>
          <w:sz w:val="20"/>
          <w:szCs w:val="20"/>
          <w:lang w:val="en-ID"/>
        </w:rPr>
        <w:t xml:space="preserve"> </w:t>
      </w:r>
      <w:r w:rsidRPr="00735944">
        <w:rPr>
          <w:rFonts w:cs="Segoe UI"/>
          <w:i/>
          <w:iCs/>
          <w:sz w:val="20"/>
          <w:szCs w:val="20"/>
          <w:lang w:val="en-ID"/>
        </w:rPr>
        <w:t>cash on delivery</w:t>
      </w:r>
      <w:r w:rsidRPr="00735944">
        <w:rPr>
          <w:rFonts w:cs="Segoe UI"/>
          <w:sz w:val="20"/>
          <w:szCs w:val="20"/>
          <w:lang w:val="en-ID"/>
        </w:rPr>
        <w:t xml:space="preserve"> pada media </w:t>
      </w:r>
      <w:r w:rsidRPr="00735944">
        <w:rPr>
          <w:rFonts w:cs="Segoe UI"/>
          <w:i/>
          <w:iCs/>
          <w:sz w:val="20"/>
          <w:szCs w:val="20"/>
          <w:lang w:val="en-ID"/>
        </w:rPr>
        <w:t>e-commerce</w:t>
      </w:r>
      <w:r w:rsidRPr="00735944">
        <w:rPr>
          <w:rFonts w:cs="Segoe UI"/>
          <w:sz w:val="20"/>
          <w:szCs w:val="20"/>
          <w:lang w:val="en-ID"/>
        </w:rPr>
        <w:t xml:space="preserve">. </w:t>
      </w:r>
      <w:proofErr w:type="spellStart"/>
      <w:r w:rsidRPr="00735944">
        <w:rPr>
          <w:rFonts w:cs="Segoe UI"/>
          <w:i/>
          <w:iCs/>
          <w:sz w:val="20"/>
          <w:szCs w:val="20"/>
          <w:lang w:val="en-ID"/>
        </w:rPr>
        <w:t>Jurnal</w:t>
      </w:r>
      <w:proofErr w:type="spellEnd"/>
      <w:r w:rsidRPr="00735944">
        <w:rPr>
          <w:rFonts w:cs="Segoe UI"/>
          <w:i/>
          <w:iCs/>
          <w:sz w:val="20"/>
          <w:szCs w:val="20"/>
          <w:lang w:val="en-ID"/>
        </w:rPr>
        <w:t xml:space="preserve"> Bina Mulia Hukum, 6</w:t>
      </w:r>
      <w:r w:rsidRPr="00735944">
        <w:rPr>
          <w:rFonts w:cs="Segoe UI"/>
          <w:sz w:val="20"/>
          <w:szCs w:val="20"/>
          <w:lang w:val="en-ID"/>
        </w:rPr>
        <w:t>.</w:t>
      </w:r>
    </w:p>
    <w:p w14:paraId="60B34459" w14:textId="77777777" w:rsidR="00735944" w:rsidRPr="00735944" w:rsidRDefault="00735944" w:rsidP="00735944">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735944">
        <w:rPr>
          <w:rFonts w:cs="Segoe UI"/>
          <w:sz w:val="20"/>
          <w:szCs w:val="20"/>
          <w:lang w:val="en-ID"/>
        </w:rPr>
        <w:t>Wiryawan</w:t>
      </w:r>
      <w:proofErr w:type="spellEnd"/>
      <w:r w:rsidRPr="00735944">
        <w:rPr>
          <w:rFonts w:cs="Segoe UI"/>
          <w:sz w:val="20"/>
          <w:szCs w:val="20"/>
          <w:lang w:val="en-ID"/>
        </w:rPr>
        <w:t xml:space="preserve">, I. W. G. (2021). </w:t>
      </w:r>
      <w:proofErr w:type="spellStart"/>
      <w:r w:rsidRPr="00735944">
        <w:rPr>
          <w:rFonts w:cs="Segoe UI"/>
          <w:sz w:val="20"/>
          <w:szCs w:val="20"/>
          <w:lang w:val="en-ID"/>
        </w:rPr>
        <w:t>Urgensi</w:t>
      </w:r>
      <w:proofErr w:type="spellEnd"/>
      <w:r w:rsidRPr="00735944">
        <w:rPr>
          <w:rFonts w:cs="Segoe UI"/>
          <w:sz w:val="20"/>
          <w:szCs w:val="20"/>
          <w:lang w:val="en-ID"/>
        </w:rPr>
        <w:t xml:space="preserve"> </w:t>
      </w:r>
      <w:proofErr w:type="spellStart"/>
      <w:r w:rsidRPr="00735944">
        <w:rPr>
          <w:rFonts w:cs="Segoe UI"/>
          <w:sz w:val="20"/>
          <w:szCs w:val="20"/>
          <w:lang w:val="en-ID"/>
        </w:rPr>
        <w:t>perlindungan</w:t>
      </w:r>
      <w:proofErr w:type="spellEnd"/>
      <w:r w:rsidRPr="00735944">
        <w:rPr>
          <w:rFonts w:cs="Segoe UI"/>
          <w:sz w:val="20"/>
          <w:szCs w:val="20"/>
          <w:lang w:val="en-ID"/>
        </w:rPr>
        <w:t xml:space="preserve"> </w:t>
      </w:r>
      <w:proofErr w:type="spellStart"/>
      <w:r w:rsidRPr="00735944">
        <w:rPr>
          <w:rFonts w:cs="Segoe UI"/>
          <w:sz w:val="20"/>
          <w:szCs w:val="20"/>
          <w:lang w:val="en-ID"/>
        </w:rPr>
        <w:t>kurir</w:t>
      </w:r>
      <w:proofErr w:type="spellEnd"/>
      <w:r w:rsidRPr="00735944">
        <w:rPr>
          <w:rFonts w:cs="Segoe UI"/>
          <w:sz w:val="20"/>
          <w:szCs w:val="20"/>
          <w:lang w:val="en-ID"/>
        </w:rPr>
        <w:t xml:space="preserve"> </w:t>
      </w:r>
      <w:proofErr w:type="spellStart"/>
      <w:r w:rsidRPr="00735944">
        <w:rPr>
          <w:rFonts w:cs="Segoe UI"/>
          <w:sz w:val="20"/>
          <w:szCs w:val="20"/>
          <w:lang w:val="en-ID"/>
        </w:rPr>
        <w:t>dalam</w:t>
      </w:r>
      <w:proofErr w:type="spellEnd"/>
      <w:r w:rsidRPr="00735944">
        <w:rPr>
          <w:rFonts w:cs="Segoe UI"/>
          <w:sz w:val="20"/>
          <w:szCs w:val="20"/>
          <w:lang w:val="en-ID"/>
        </w:rPr>
        <w:t xml:space="preserve"> </w:t>
      </w:r>
      <w:proofErr w:type="spellStart"/>
      <w:r w:rsidRPr="00735944">
        <w:rPr>
          <w:rFonts w:cs="Segoe UI"/>
          <w:sz w:val="20"/>
          <w:szCs w:val="20"/>
          <w:lang w:val="en-ID"/>
        </w:rPr>
        <w:t>transaksi</w:t>
      </w:r>
      <w:proofErr w:type="spellEnd"/>
      <w:r w:rsidRPr="00735944">
        <w:rPr>
          <w:rFonts w:cs="Segoe UI"/>
          <w:sz w:val="20"/>
          <w:szCs w:val="20"/>
          <w:lang w:val="en-ID"/>
        </w:rPr>
        <w:t xml:space="preserve"> </w:t>
      </w:r>
      <w:r w:rsidRPr="00735944">
        <w:rPr>
          <w:rFonts w:cs="Segoe UI"/>
          <w:i/>
          <w:iCs/>
          <w:sz w:val="20"/>
          <w:szCs w:val="20"/>
          <w:lang w:val="en-ID"/>
        </w:rPr>
        <w:t>e-commerce</w:t>
      </w:r>
      <w:r w:rsidRPr="00735944">
        <w:rPr>
          <w:rFonts w:cs="Segoe UI"/>
          <w:sz w:val="20"/>
          <w:szCs w:val="20"/>
          <w:lang w:val="en-ID"/>
        </w:rPr>
        <w:t xml:space="preserve"> </w:t>
      </w:r>
      <w:proofErr w:type="spellStart"/>
      <w:r w:rsidRPr="00735944">
        <w:rPr>
          <w:rFonts w:cs="Segoe UI"/>
          <w:sz w:val="20"/>
          <w:szCs w:val="20"/>
          <w:lang w:val="en-ID"/>
        </w:rPr>
        <w:t>dengan</w:t>
      </w:r>
      <w:proofErr w:type="spellEnd"/>
      <w:r w:rsidRPr="00735944">
        <w:rPr>
          <w:rFonts w:cs="Segoe UI"/>
          <w:sz w:val="20"/>
          <w:szCs w:val="20"/>
          <w:lang w:val="en-ID"/>
        </w:rPr>
        <w:t xml:space="preserve"> </w:t>
      </w:r>
      <w:proofErr w:type="spellStart"/>
      <w:r w:rsidRPr="00735944">
        <w:rPr>
          <w:rFonts w:cs="Segoe UI"/>
          <w:sz w:val="20"/>
          <w:szCs w:val="20"/>
          <w:lang w:val="en-ID"/>
        </w:rPr>
        <w:t>sistem</w:t>
      </w:r>
      <w:proofErr w:type="spellEnd"/>
      <w:r w:rsidRPr="00735944">
        <w:rPr>
          <w:rFonts w:cs="Segoe UI"/>
          <w:sz w:val="20"/>
          <w:szCs w:val="20"/>
          <w:lang w:val="en-ID"/>
        </w:rPr>
        <w:t xml:space="preserve"> COD (</w:t>
      </w:r>
      <w:r w:rsidRPr="00735944">
        <w:rPr>
          <w:rFonts w:cs="Segoe UI"/>
          <w:i/>
          <w:iCs/>
          <w:sz w:val="20"/>
          <w:szCs w:val="20"/>
          <w:lang w:val="en-ID"/>
        </w:rPr>
        <w:t>cash on delivery</w:t>
      </w:r>
      <w:r w:rsidRPr="00735944">
        <w:rPr>
          <w:rFonts w:cs="Segoe UI"/>
          <w:sz w:val="20"/>
          <w:szCs w:val="20"/>
          <w:lang w:val="en-ID"/>
        </w:rPr>
        <w:t xml:space="preserve">). </w:t>
      </w:r>
      <w:proofErr w:type="spellStart"/>
      <w:r w:rsidRPr="00735944">
        <w:rPr>
          <w:rFonts w:cs="Segoe UI"/>
          <w:i/>
          <w:iCs/>
          <w:sz w:val="20"/>
          <w:szCs w:val="20"/>
          <w:lang w:val="en-ID"/>
        </w:rPr>
        <w:t>Jurnal</w:t>
      </w:r>
      <w:proofErr w:type="spellEnd"/>
      <w:r w:rsidRPr="00735944">
        <w:rPr>
          <w:rFonts w:cs="Segoe UI"/>
          <w:i/>
          <w:iCs/>
          <w:sz w:val="20"/>
          <w:szCs w:val="20"/>
          <w:lang w:val="en-ID"/>
        </w:rPr>
        <w:t xml:space="preserve"> </w:t>
      </w:r>
      <w:proofErr w:type="spellStart"/>
      <w:r w:rsidRPr="00735944">
        <w:rPr>
          <w:rFonts w:cs="Segoe UI"/>
          <w:i/>
          <w:iCs/>
          <w:sz w:val="20"/>
          <w:szCs w:val="20"/>
          <w:lang w:val="en-ID"/>
        </w:rPr>
        <w:t>Analisis</w:t>
      </w:r>
      <w:proofErr w:type="spellEnd"/>
      <w:r w:rsidRPr="00735944">
        <w:rPr>
          <w:rFonts w:cs="Segoe UI"/>
          <w:i/>
          <w:iCs/>
          <w:sz w:val="20"/>
          <w:szCs w:val="20"/>
          <w:lang w:val="en-ID"/>
        </w:rPr>
        <w:t xml:space="preserve"> Hukum, 4</w:t>
      </w:r>
      <w:r w:rsidRPr="00735944">
        <w:rPr>
          <w:rFonts w:cs="Segoe UI"/>
          <w:sz w:val="20"/>
          <w:szCs w:val="20"/>
          <w:lang w:val="en-ID"/>
        </w:rPr>
        <w:t>.</w:t>
      </w:r>
    </w:p>
    <w:p w14:paraId="1D366BB9" w14:textId="77777777" w:rsidR="00735944" w:rsidRPr="00735944" w:rsidRDefault="00735944" w:rsidP="00735944">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735944">
        <w:rPr>
          <w:rFonts w:cs="Segoe UI"/>
          <w:sz w:val="20"/>
          <w:szCs w:val="20"/>
          <w:lang w:val="en-ID"/>
        </w:rPr>
        <w:t>Undang-Undang</w:t>
      </w:r>
      <w:proofErr w:type="spellEnd"/>
      <w:r w:rsidRPr="00735944">
        <w:rPr>
          <w:rFonts w:cs="Segoe UI"/>
          <w:sz w:val="20"/>
          <w:szCs w:val="20"/>
          <w:lang w:val="en-ID"/>
        </w:rPr>
        <w:t xml:space="preserve"> Dasar Negara Republik Indonesia </w:t>
      </w:r>
      <w:proofErr w:type="spellStart"/>
      <w:r w:rsidRPr="00735944">
        <w:rPr>
          <w:rFonts w:cs="Segoe UI"/>
          <w:sz w:val="20"/>
          <w:szCs w:val="20"/>
          <w:lang w:val="en-ID"/>
        </w:rPr>
        <w:t>Tahun</w:t>
      </w:r>
      <w:proofErr w:type="spellEnd"/>
      <w:r w:rsidRPr="00735944">
        <w:rPr>
          <w:rFonts w:cs="Segoe UI"/>
          <w:sz w:val="20"/>
          <w:szCs w:val="20"/>
          <w:lang w:val="en-ID"/>
        </w:rPr>
        <w:t xml:space="preserve"> 1945.</w:t>
      </w:r>
    </w:p>
    <w:p w14:paraId="4BCF5C9E" w14:textId="77777777" w:rsidR="00735944" w:rsidRPr="00735944" w:rsidRDefault="00735944" w:rsidP="00735944">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735944">
        <w:rPr>
          <w:rFonts w:cs="Segoe UI"/>
          <w:sz w:val="20"/>
          <w:szCs w:val="20"/>
          <w:lang w:val="en-ID"/>
        </w:rPr>
        <w:t>Undang-Undang</w:t>
      </w:r>
      <w:proofErr w:type="spellEnd"/>
      <w:r w:rsidRPr="00735944">
        <w:rPr>
          <w:rFonts w:cs="Segoe UI"/>
          <w:sz w:val="20"/>
          <w:szCs w:val="20"/>
          <w:lang w:val="en-ID"/>
        </w:rPr>
        <w:t xml:space="preserve"> Republik Indonesia </w:t>
      </w:r>
      <w:proofErr w:type="spellStart"/>
      <w:r w:rsidRPr="00735944">
        <w:rPr>
          <w:rFonts w:cs="Segoe UI"/>
          <w:sz w:val="20"/>
          <w:szCs w:val="20"/>
          <w:lang w:val="en-ID"/>
        </w:rPr>
        <w:t>Nomor</w:t>
      </w:r>
      <w:proofErr w:type="spellEnd"/>
      <w:r w:rsidRPr="00735944">
        <w:rPr>
          <w:rFonts w:cs="Segoe UI"/>
          <w:sz w:val="20"/>
          <w:szCs w:val="20"/>
          <w:lang w:val="en-ID"/>
        </w:rPr>
        <w:t xml:space="preserve"> 48 </w:t>
      </w:r>
      <w:proofErr w:type="spellStart"/>
      <w:r w:rsidRPr="00735944">
        <w:rPr>
          <w:rFonts w:cs="Segoe UI"/>
          <w:sz w:val="20"/>
          <w:szCs w:val="20"/>
          <w:lang w:val="en-ID"/>
        </w:rPr>
        <w:t>Tahun</w:t>
      </w:r>
      <w:proofErr w:type="spellEnd"/>
      <w:r w:rsidRPr="00735944">
        <w:rPr>
          <w:rFonts w:cs="Segoe UI"/>
          <w:sz w:val="20"/>
          <w:szCs w:val="20"/>
          <w:lang w:val="en-ID"/>
        </w:rPr>
        <w:t xml:space="preserve"> 2009 </w:t>
      </w:r>
      <w:proofErr w:type="spellStart"/>
      <w:r w:rsidRPr="00735944">
        <w:rPr>
          <w:rFonts w:cs="Segoe UI"/>
          <w:sz w:val="20"/>
          <w:szCs w:val="20"/>
          <w:lang w:val="en-ID"/>
        </w:rPr>
        <w:t>tentang</w:t>
      </w:r>
      <w:proofErr w:type="spellEnd"/>
      <w:r w:rsidRPr="00735944">
        <w:rPr>
          <w:rFonts w:cs="Segoe UI"/>
          <w:sz w:val="20"/>
          <w:szCs w:val="20"/>
          <w:lang w:val="en-ID"/>
        </w:rPr>
        <w:t xml:space="preserve"> </w:t>
      </w:r>
      <w:proofErr w:type="spellStart"/>
      <w:r w:rsidRPr="00735944">
        <w:rPr>
          <w:rFonts w:cs="Segoe UI"/>
          <w:sz w:val="20"/>
          <w:szCs w:val="20"/>
          <w:lang w:val="en-ID"/>
        </w:rPr>
        <w:t>Kekuasaan</w:t>
      </w:r>
      <w:proofErr w:type="spellEnd"/>
      <w:r w:rsidRPr="00735944">
        <w:rPr>
          <w:rFonts w:cs="Segoe UI"/>
          <w:sz w:val="20"/>
          <w:szCs w:val="20"/>
          <w:lang w:val="en-ID"/>
        </w:rPr>
        <w:t xml:space="preserve"> Kehakiman.</w:t>
      </w:r>
    </w:p>
    <w:p w14:paraId="6D20ED04" w14:textId="77777777" w:rsidR="00735944" w:rsidRPr="00735944" w:rsidRDefault="00735944" w:rsidP="00735944">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735944">
        <w:rPr>
          <w:rFonts w:cs="Segoe UI"/>
          <w:sz w:val="20"/>
          <w:szCs w:val="20"/>
          <w:lang w:val="en-ID"/>
        </w:rPr>
        <w:t>Undang-Undang</w:t>
      </w:r>
      <w:proofErr w:type="spellEnd"/>
      <w:r w:rsidRPr="00735944">
        <w:rPr>
          <w:rFonts w:cs="Segoe UI"/>
          <w:sz w:val="20"/>
          <w:szCs w:val="20"/>
          <w:lang w:val="en-ID"/>
        </w:rPr>
        <w:t xml:space="preserve"> Republik Indonesia </w:t>
      </w:r>
      <w:proofErr w:type="spellStart"/>
      <w:r w:rsidRPr="00735944">
        <w:rPr>
          <w:rFonts w:cs="Segoe UI"/>
          <w:sz w:val="20"/>
          <w:szCs w:val="20"/>
          <w:lang w:val="en-ID"/>
        </w:rPr>
        <w:t>Nomor</w:t>
      </w:r>
      <w:proofErr w:type="spellEnd"/>
      <w:r w:rsidRPr="00735944">
        <w:rPr>
          <w:rFonts w:cs="Segoe UI"/>
          <w:sz w:val="20"/>
          <w:szCs w:val="20"/>
          <w:lang w:val="en-ID"/>
        </w:rPr>
        <w:t xml:space="preserve"> 1 </w:t>
      </w:r>
      <w:proofErr w:type="spellStart"/>
      <w:r w:rsidRPr="00735944">
        <w:rPr>
          <w:rFonts w:cs="Segoe UI"/>
          <w:sz w:val="20"/>
          <w:szCs w:val="20"/>
          <w:lang w:val="en-ID"/>
        </w:rPr>
        <w:t>Tahun</w:t>
      </w:r>
      <w:proofErr w:type="spellEnd"/>
      <w:r w:rsidRPr="00735944">
        <w:rPr>
          <w:rFonts w:cs="Segoe UI"/>
          <w:sz w:val="20"/>
          <w:szCs w:val="20"/>
          <w:lang w:val="en-ID"/>
        </w:rPr>
        <w:t xml:space="preserve"> 1946 </w:t>
      </w:r>
      <w:proofErr w:type="spellStart"/>
      <w:r w:rsidRPr="00735944">
        <w:rPr>
          <w:rFonts w:cs="Segoe UI"/>
          <w:sz w:val="20"/>
          <w:szCs w:val="20"/>
          <w:lang w:val="en-ID"/>
        </w:rPr>
        <w:t>tentang</w:t>
      </w:r>
      <w:proofErr w:type="spellEnd"/>
      <w:r w:rsidRPr="00735944">
        <w:rPr>
          <w:rFonts w:cs="Segoe UI"/>
          <w:sz w:val="20"/>
          <w:szCs w:val="20"/>
          <w:lang w:val="en-ID"/>
        </w:rPr>
        <w:t xml:space="preserve"> </w:t>
      </w:r>
      <w:proofErr w:type="spellStart"/>
      <w:r w:rsidRPr="00735944">
        <w:rPr>
          <w:rFonts w:cs="Segoe UI"/>
          <w:sz w:val="20"/>
          <w:szCs w:val="20"/>
          <w:lang w:val="en-ID"/>
        </w:rPr>
        <w:t>Peraturan</w:t>
      </w:r>
      <w:proofErr w:type="spellEnd"/>
      <w:r w:rsidRPr="00735944">
        <w:rPr>
          <w:rFonts w:cs="Segoe UI"/>
          <w:sz w:val="20"/>
          <w:szCs w:val="20"/>
          <w:lang w:val="en-ID"/>
        </w:rPr>
        <w:t xml:space="preserve"> Hukum Pidana.</w:t>
      </w:r>
    </w:p>
    <w:p w14:paraId="74A53EEA" w14:textId="5DF93F81" w:rsidR="00735944" w:rsidRPr="00735944" w:rsidRDefault="00735944">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735944">
        <w:rPr>
          <w:rFonts w:cs="Segoe UI"/>
          <w:sz w:val="20"/>
          <w:szCs w:val="20"/>
        </w:rPr>
        <w:t xml:space="preserve">Pengadilan Negeri Makassar. (2023). </w:t>
      </w:r>
      <w:r w:rsidRPr="00735944">
        <w:rPr>
          <w:rFonts w:cs="Segoe UI"/>
          <w:i/>
          <w:iCs/>
          <w:sz w:val="20"/>
          <w:szCs w:val="20"/>
        </w:rPr>
        <w:t>Putusan Nomor 1339/Pid.B/2023/PN Mks</w:t>
      </w:r>
      <w:r w:rsidRPr="00735944">
        <w:rPr>
          <w:rFonts w:cs="Segoe UI"/>
          <w:sz w:val="20"/>
          <w:szCs w:val="20"/>
        </w:rPr>
        <w:t>.</w:t>
      </w:r>
    </w:p>
    <w:sectPr w:rsidR="00735944" w:rsidRPr="00735944"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4E4A1" w14:textId="77777777" w:rsidR="00BB7E89" w:rsidRDefault="00BB7E89" w:rsidP="009B0AF6">
      <w:pPr>
        <w:spacing w:after="0" w:line="240" w:lineRule="auto"/>
      </w:pPr>
      <w:r>
        <w:separator/>
      </w:r>
    </w:p>
  </w:endnote>
  <w:endnote w:type="continuationSeparator" w:id="0">
    <w:p w14:paraId="0FC8ED44" w14:textId="77777777" w:rsidR="00BB7E89" w:rsidRDefault="00BB7E89"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536686BE" w14:textId="1E677E7D"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F131FE">
          <w:rPr>
            <w:rFonts w:cs="Segoe UI"/>
            <w:noProof/>
            <w:sz w:val="20"/>
            <w:szCs w:val="20"/>
          </w:rPr>
          <w:t>Jumadil Awal</w:t>
        </w:r>
      </w:p>
      <w:p w14:paraId="1F4C0D27"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C57AC" w14:textId="77777777" w:rsidR="00BB7E89" w:rsidRDefault="00BB7E89" w:rsidP="009B0AF6">
      <w:pPr>
        <w:spacing w:after="0" w:line="240" w:lineRule="auto"/>
      </w:pPr>
      <w:r>
        <w:separator/>
      </w:r>
    </w:p>
  </w:footnote>
  <w:footnote w:type="continuationSeparator" w:id="0">
    <w:p w14:paraId="0F22E8B2" w14:textId="77777777" w:rsidR="00BB7E89" w:rsidRDefault="00BB7E89"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ED58"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3977"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D5221DCE"/>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rPr>
        <w:lang w:val="id-ID"/>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4C64"/>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97A63"/>
    <w:rsid w:val="006F0069"/>
    <w:rsid w:val="006F20C0"/>
    <w:rsid w:val="0071791D"/>
    <w:rsid w:val="00732CD5"/>
    <w:rsid w:val="00735944"/>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35ED"/>
    <w:rsid w:val="00AD7C4B"/>
    <w:rsid w:val="00AE0872"/>
    <w:rsid w:val="00B0079C"/>
    <w:rsid w:val="00B024E4"/>
    <w:rsid w:val="00B34841"/>
    <w:rsid w:val="00B34CDD"/>
    <w:rsid w:val="00B908C0"/>
    <w:rsid w:val="00BA38E8"/>
    <w:rsid w:val="00BB1200"/>
    <w:rsid w:val="00BB7E89"/>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3856"/>
    <w:rsid w:val="00E05BB1"/>
    <w:rsid w:val="00E109A4"/>
    <w:rsid w:val="00E3722F"/>
    <w:rsid w:val="00E37C1B"/>
    <w:rsid w:val="00E538A0"/>
    <w:rsid w:val="00E854CC"/>
    <w:rsid w:val="00EA7010"/>
    <w:rsid w:val="00EA7E75"/>
    <w:rsid w:val="00EB308B"/>
    <w:rsid w:val="00ED73C9"/>
    <w:rsid w:val="00EF065F"/>
    <w:rsid w:val="00EF2199"/>
    <w:rsid w:val="00F131FE"/>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EDE2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5299</Words>
  <Characters>30207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6</cp:revision>
  <cp:lastPrinted>2023-04-17T18:59:00Z</cp:lastPrinted>
  <dcterms:created xsi:type="dcterms:W3CDTF">2026-01-24T05:16:00Z</dcterms:created>
  <dcterms:modified xsi:type="dcterms:W3CDTF">2026-08-11T23:49:00Z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