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Analisis Yuridis Dakwaan dan Pertimbangan Hakim dalam Korupsi Pengadaan Alat Kesehatan (Putusan 67/Pid.Sus-TPK/2022/PN Mks)</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Joe Mazmur Wattimena</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joe@ukipaulus.ac.id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corruption, medical equipment procurement, abuse of authority, sentencing guidelines, state financial loss</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tindak pidana korupsi, pengadaan alat kesehatan, penyalahgunaan kewenangan, pedoman pemidanaan, kerugian keuangan negara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Corruption in medical equipment procurement undermines the constitutional right to health services. This study analyses the prosecutor's indictment and the reasoning of the panel of judges in Makassar Corruption Court Decision Number 67/Pid.Sus-TPK/2022/PN Mks, concerning the 2016 procurement of general medical devices at the Siti Fatimah Regional Special Hospital for Mothers and Children, which caused a state financial loss of IDR 9,363,939,683.85. The research is normative legal research using a case approach, a statute approach, and a conceptual approach, with legal materials analysed descriptively and qualitatively. The findings show that the subsidiary form of the indictment was appropriate, and that acquitting on the primary charge under Article 2 while convicting under Article 3 fits the facts, since the defendant's liability rested on abuse of authority attached to his office. However, the sentence of two years' imprisonment and a fine of IDR 50,000,000 sits below the lowest range under Supreme Court Regulation Number 1 of 2020, even on the assumption most favourable to the defendant, and the compensation order covers only about 2.14 per cent of the loss. The study recommends that sentencing reasoning follow the six prescribed stages explicitly and that loss recovery involving deceased offenders use the civil route.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Korupsi pengadaan alat kesehatan berdampak langsung pada pemenuhan hak konstitusional atas pelayanan kesehatan. Penelitian ini menganalisis dakwaan Penuntut Umum dan pertimbangan hukum majelis hakim dalam Putusan Pengadilan Tindak Pidana Korupsi pada Pengadilan Negeri Makassar Nomor 67/Pid.Sus-TPK/2022/PN Mks mengenai pengadaan alat kedokteran umum Tahun Anggaran 2016 pada Rumah Sakit Khusus Daerah Ibu dan Anak Siti Fatimah Makassar yang menimbulkan kerugian keuangan negara sebesar Rp9.363.939.683,85. Penelitian merupakan penelitian hukum normatif dengan pendekatan kasus, pendekatan perundang-undangan, dan pendekatan konseptual; bahan hukum dianalisis secara deskriptif-kualitatif. Hasil penelitian menunjukkan bahwa bentuk dakwaan subsidiaritas sudah tepat dan pembebasan dari dakwaan primair Pasal 2 disertai pemidanaan berdasarkan dakwaan subsidair Pasal 3 bersesuaian dengan fakta hukum, karena pertanggungjawaban terdakwa bertumpu pada penyalahgunaan kewenangan yang melekat pada jabatannya. Namun pidana penjara dua tahun dan denda Rp50.000.000,00 berada di bawah rentang terendah menurut Peraturan Mahkamah Agung Nomor 1 Tahun 2020, bahkan pada asumsi yang paling menguntungkan terdakwa, sedangkan uang pengganti hanya mencakup sekitar 2,14% dari kerugian. Penelitian merekomendasikan penguraian tahapan pemidanaan secara eksplisit dan penempuhan jalur perdata bagi pemulihan kerugian yang melibatkan pelaku yang telah meninggal dunia.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Pelayanan kesehatan bukan sekadar layanan publik biasa, melainkan pelaksanaan hak konstitusional. Pasal 28H ayat (1) Undang-Undang Dasar Negara Republik Indonesia Tahun 1945 menegaskan hak setiap orang untuk memperoleh pelayanan kesehatan, sedangkan Pasal 34 ayat (3) membebankan kepada negara tanggung jawab atas penyediaan fasilitas pelayanan kesehatan yang layak. Konsekuensinya, penyimpangan pada pengadaan sarana kesehatan tidak berhenti sebagai kerugian anggaran. Alat kedokteran yang dibeli melalui proses yang menyimpang berisiko tidak presisi, cepat rusak, dan menyesatkan diagnosis, sehingga bahaya yang ditimbulkannya bersentuhan langsung dengan keselamatan pasien.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Pengadaan alat kesehatan merupakan salah satu titik paling rawan dalam belanja publik. Alokasi anggarannya besar seiring tuntutan peningkatan kelas rumah sakit; satu jenis alat memiliki banyak substitusi dengan rentang harga yang lebar sehingga selisih harga mudah dijadikan celah keuntungan; dan spesifikasi teknisnya rumit sehingga tidak banyak pihak yang mampu mengawasinya. Data yang dihimpun Indonesia Corruption Watch menunjukkan bahwa dalam rentang lima tahun terdapat sekurang-kurangnya 107 perkara korupsi pengadaan alat kesehatan yang ditangani aparat penegak hukum dengan nilai kerugian mencapai Rp543 miliar (Indonesia Corruption Watch, n.d.).</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Putusan Pengadilan Tindak Pidana Korupsi pada Pengadilan Negeri Makassar Nomor 67/Pid.Sus-TPK/2022/PN Mks merupakan representasi konkret dari persoalan tersebut. Terdakwa berkedudukan sebagai Direktur Rumah Sakit Khusus Daerah Ibu dan Anak Siti Fatimah Makassar sekaligus Pengguna Anggaran merangkap Pejabat Pembuat Komitmen berdasarkan Keputusan Gubernur Sulawesi Selatan Nomor 5/1 Tahun 2016 tanggal 4 Januari 2016. Sepanjang tahun 2016, terdakwa menetapkan Dokumen Pelaksanaan Anggaran pengadaan alat kedokteran umum yang disusun oleh penyedia, menandatangani harga perkiraan sendiri dan spesifikasi teknis yang berasal dari penyedia yang sama, memerintahkan survei harga yang tidak dilaksanakan sebagaimana mestinya, serta menerima akomodasi dan imbalan uang sebesar Rp200.000.000,00. Perbuatan itu dinilai bertentangan dengan Peraturan Presiden Nomor 54 Tahun 2010 dan Peraturan Kepala LKPP Nomor 1 Tahun 2015, dengan kerugian keuangan negara sebesar Rp9.363.939.683,85 sebagaimana Laporan Hasil Pemeriksaan Badan Pemeriksa Keuangan Nomor 28/LHP/XXI/12/2021 tanggal 29 Desember 2021.</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Penuntut Umum menyusun dakwaan berbentuk subsidiaritas. Majelis hakim membebaskan terdakwa dari dakwaan primair Pasal 2 ayat (1) dan menyatakannya terbukti bersalah berdasarkan dakwaan subsidair Pasal 3 Undang-Undang Nomor 31 Tahun 1999 sebagaimana diubah dengan Undang-Undang Nomor 20 Tahun 2001, kemudian menjatuhkan pidana penjara dua tahun dan denda Rp50.000.000,00. Pada titik inilah persoalan hukum muncul. Perkara ini diadili ketika Peraturan Mahkamah Agung Nomor 1 Tahun 2020 tentang Pedoman Pemidanaan Pasal 2 dan Pasal 3 Undang-Undang Pemberantasan Tindak Pidana Korupsi telah berlaku sejak 24 Juli 2020, sehingga penentuan berat ringannya pidana seharusnya ditempuh melalui tahapan yang telah dibakukan.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penerapan pedoman pemidanaan korupsi telah berkembang. Indarsih (2020) menempatkan Peraturan Mahkamah Agung Nomor 1 Tahun 2020 sebagai instrumen penanggulangan disparitas pemidanaan. Saragih dan Ariansyah (2022) menelaah arah kebijakan pedoman pemidanaan terhadap pelaku korupsi. Hadi dan Nova (2023) menguji penerapan pedoman tersebut pada Putusan Nomor 33/Pid.Sus/TPK/2020/PN Pdg dan menemukan bahwa pidana yang dijatuhkan lebih rendah daripada tingkat kesalahan terdakwa. Rachman dan Raspati (2021) memperdalam pemaknaan unsur kerugian keuangan dan perekonomian negara, sementara Pudjoharsoyo (2026) mengulas status keberlakuan pedoman tersebut setelah Kitab Undang-Undang Hukum Pidana Nasional berlaku pada 2 Januari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Kajian-kajian tersebut kuat pada level normatif pedoman pemidanaan, tetapi umumnya belum menguji satu putusan korupsi sektor kesehatan secara terukur terhadap matriks rentang penjatuhan pidana. Selain itu, dimensi pemulihan kerugian keuangan negara ketika pihak yang paling banyak menikmati hasil korupsi telah meninggal dunia jarang dianalisis bersamaan dengan persoalan proporsionalitas pidana, padahal keduanya menentukan apakah penegakan hukum benar-benar memulihkan keuangan negara atau berhenti pada penghukuman badan.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telaah normatif pedoman pemidanaan atau pada terpenuhinya unsur delik, penelitian ini menitikberatkan analisisnya pada dua hal, yaitu ketepatan konstruksi dakwaan beserta konsekuensinya terhadap ancaman pidana, dan kesesuaian pidana yang dijatuhkan dengan tahapan serta rentang pemidanaan yang telah dibakukan, termasuk implikasinya bagi pemulihan kerugian keuangan negara.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menganalisis dakwaan Jaksa Penuntut Umum dalam tindak pidana korupsi pengadaan alat kesehatan di Rumah Sakit Khusus Daerah Ibu dan Anak Siti Fatimah Makassar; dan kedua, menganalisis pertimbangan hukum hakim dalam perkara tersebut, termasuk dasar penentuan berat ringannya pidana yang dijatuhkan.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penalaran hukum dengan menempatkan tahapan penjatuhan pidana sebagai objek analisis yang dapat diukur, bukan semata wilayah diskresi yang tertutup dari penilaian akademik. Secara praktis, temuan penelitian dapat menjadi bahan refleksi bagi penuntut umum dalam menyusun dakwaan dan tuntutan, bagi hakim dalam menguraikan pertimbangan pemidanaan, serta bagi pengelola anggaran rumah sakit daerah dalam memperkuat integritas proses pengadaan.</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Karena objek penelitian berupa satu putusan pengadilan, uraian metodologis difokuskan pada cara bahan hukum dikumpulkan, diverifikasi, dan diolah menjadi argumentasi yuridis.</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 yaitu penelitian yang menempatkan norma hukum dan penerapannya dalam putusan pengadilan sebagai objek kajian utama (Marzuki, 2014). Pendekatan yang digunakan bersifat gabungan. Pertama, pendekatan kasus (</w:t>
      </w:r>
      <w:r>
        <w:rPr>
          <w:rStyle w:val="longtext"/>
          <w:rFonts w:ascii="Segoe UI" w:hAnsi="Segoe UI" w:cs="Segoe UI"/>
          <w:i/>
          <w:iCs/>
          <w:sz w:val="22"/>
          <w:szCs w:val="22"/>
          <w:shd w:val="clear" w:color="auto" w:fill="FFFFFF"/>
          <w:lang w:val="id"/>
        </w:rPr>
        <w:t xml:space="preserve">case approach</w:t>
      </w:r>
      <w:r>
        <w:rPr>
          <w:rStyle w:val="longtext"/>
          <w:rFonts w:ascii="Segoe UI" w:hAnsi="Segoe UI" w:cs="Segoe UI"/>
          <w:sz w:val="22"/>
          <w:szCs w:val="22"/>
          <w:shd w:val="clear" w:color="auto" w:fill="FFFFFF"/>
          <w:lang w:val="id"/>
        </w:rPr>
        <w:t xml:space="preserve">) yang menempatkan Putusan Nomor 67/Pid.Sus-TPK/2022/PN Mks sebagai kasus tunggal yang dianalisis secara mendalam, mulai dari surat dakwaan, fakta hukum, unsur yang diuji, hingga amar putusan. Kedua,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kesesuaian penerapan Pasal 2 dan Pasal 3 Undang-Undang Pemberantasan Tindak Pidana Korupsi serta ketentuan pengadaan barang/jasa dan pedoman pemidanaan yang relevan. Ketiga,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konsep surat dakwaan, </w:t>
      </w:r>
      <w:r>
        <w:rPr>
          <w:rStyle w:val="longtext"/>
          <w:rFonts w:ascii="Segoe UI" w:hAnsi="Segoe UI" w:cs="Segoe UI"/>
          <w:i/>
          <w:iCs/>
          <w:sz w:val="22"/>
          <w:szCs w:val="22"/>
          <w:shd w:val="clear" w:color="auto" w:fill="FFFFFF"/>
          <w:lang w:val="id"/>
        </w:rPr>
        <w:t xml:space="preserve">ratio decidendi</w:t>
      </w:r>
      <w:r>
        <w:rPr>
          <w:rStyle w:val="longtext"/>
          <w:rFonts w:ascii="Segoe UI" w:hAnsi="Segoe UI" w:cs="Segoe UI"/>
          <w:sz w:val="22"/>
          <w:szCs w:val="22"/>
          <w:shd w:val="clear" w:color="auto" w:fill="FFFFFF"/>
          <w:lang w:val="id"/>
        </w:rPr>
        <w:t xml:space="preserve">, teori tujuan hukum, dan teori pemidanaan sebagai pisau analisis. Penelitian ini tidak menggunakan pendekatan kuantitatif karena permasalahan yang diteliti bersifat normatif-kualitatif.</w:t>
      </w:r>
    </w:p>
    <w:p>
      <w:pPr>
        <w:pStyle w:val="Heading2"/>
        <w:ind w:right="322"/>
        <w:rPr>
          <w:rStyle w:val="mediumtext"/>
        </w:rPr>
      </w:pPr>
      <w:r>
        <w:rPr>
          <w:rStyle w:val="mediumtext"/>
        </w:rPr>
        <w:t xml:space="preserve">2.2 Objek, Lokasi, dan Unit Analisis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Objek penelitian adalah surat dakwaan Penuntut Umum, pertimbangan hukum, dan amar Putusan Nomor 67/Pid.Sus-TPK/2022/PN Mks dalam perkara korupsi pengadaan alat kedokteran umum Tahun Anggaran 2016 pada Rumah Sakit Khusus Daerah Ibu dan Anak Siti Fatimah Makassar. Penelitian dilaksanakan pada Pengadilan Tindak Pidana Korupsi di Pengadilan Negeri Makassar sebagai pengadilan yang memeriksa, mengadili, dan memutus perkara tersebut. Pemilihan putusan dilakukan secara sengaja dengan tiga pertimbangan, yaitu nilai kerugian keuangan negara yang signifikan, kedudukan terdakwa sebagai pengguna anggaran merangkap pejabat pembuat komitmen, dan terdapatnya perbedaan hasil pembuktian antara dakwaan primair dan subsidair. Unit analisis dibatasi pada tiga hal, yaitu konstruksi dakwaan beserta konsekuensi yuridisnya terhadap ancaman pidana, penalaran hukum majelis hakim dalam menguji unsur pasal yang didakwakan, dan dasar penentuan berat ringannya pidana beserta pidana tambahan yang menyertainya. Perkara lain yang melibatkan pihak-pihak yang diadili dalam berkas terpisah tidak menjadi objek analisis utama dan hanya disinggung sepanjang diperlukan untuk memahami konstruksi penyertaan dalam perkara yang diteliti.</w:t>
      </w:r>
    </w:p>
    <w:p>
      <w:pPr>
        <w:pStyle w:val="Heading2"/>
        <w:ind w:right="322"/>
        <w:rPr>
          <w:rStyle w:val="mediumtext"/>
        </w:rPr>
      </w:pPr>
      <w:r>
        <w:rPr>
          <w:rStyle w:val="mediumtext"/>
        </w:rPr>
        <w:t xml:space="preserve">2.3 Bahan Hukum dan Sumber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primer meliputi Undang-Undang Dasar Negara Republik Indonesia Tahun 1945, Kitab Undang-Undang Hukum Pidana, Undang-Undang Nomor 8 Tahun 1981 tentang Hukum Acara Pidana, Undang-Undang Nomor 31 Tahun 1999 sebagaimana telah diubah dengan Undang-Undang Nomor 20 Tahun 2001 tentang Pemberantasan Tindak Pidana Korupsi, Undang-Undang Nomor 48 Tahun 2009 tentang Kekuasaan Kehakiman, Undang-Undang Nomor 1 Tahun 2023 tentang Kitab Undang-Undang Hukum Pidana, Peraturan Presiden Nomor 54 Tahun 2010, Peraturan Kepala Lembaga Kebijakan Pengadaan Barang/Jasa Pemerintah Nomor 1 Tahun 2015, Peraturan Mahkamah Agung Nomor 1 Tahun 2020, Putusan Mahkamah Konstitusi Nomor 003/PUU-IV/2006, Laporan Hasil Pemeriksaan Badan Pemeriksa Keuangan Nomor 28/LHP/XXI/12/2021, serta Putusan Nomor 67/Pid.Sus-TPK/2022/PN Mks itu sendiri. Bahan hukum sekunder terdiri atas buku, artikel jurnal ilmiah nasional, dan hasil penelitian terdahulu yang relevan, sedangkan bahan hukum tersier berupa kamus hukum digunakan sebatas untuk menjernihkan peristilahan.</w:t>
      </w:r>
    </w:p>
    <w:p>
      <w:pPr>
        <w:pStyle w:val="Heading2"/>
        <w:ind w:right="322"/>
        <w:rPr>
          <w:rStyle w:val="mediumtext"/>
        </w:rPr>
      </w:pPr>
      <w:r>
        <w:rPr>
          <w:rStyle w:val="mediumtext"/>
        </w:rPr>
        <w:t xml:space="preserve">2.4 Teknik Pengumpulan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bahan hukum dilakukan melalui penelitian kepustakaan (</w:t>
      </w:r>
      <w:r>
        <w:rPr>
          <w:rStyle w:val="longtext"/>
          <w:rFonts w:ascii="Segoe UI" w:hAnsi="Segoe UI" w:cs="Segoe UI"/>
          <w:i/>
          <w:iCs/>
          <w:sz w:val="22"/>
          <w:szCs w:val="22"/>
          <w:shd w:val="clear" w:color="auto" w:fill="FFFFFF"/>
          <w:lang w:val="id"/>
        </w:rPr>
        <w:t xml:space="preserve">library research</w:t>
      </w:r>
      <w:r>
        <w:rPr>
          <w:rStyle w:val="longtext"/>
          <w:rFonts w:ascii="Segoe UI" w:hAnsi="Segoe UI" w:cs="Segoe UI"/>
          <w:sz w:val="22"/>
          <w:szCs w:val="22"/>
          <w:shd w:val="clear" w:color="auto" w:fill="FFFFFF"/>
          <w:lang w:val="id"/>
        </w:rPr>
        <w:t xml:space="preserve">) yang menghimpun peraturan perundang-undangan, literatur, dan artikel jurnal, disertai studi dokumen atas salinan putusan dan dokumen resmi perkara. Seluruh angka, nomor pasal, nomor putusan, dan tanggal yang digunakan dalam penelitian ini bersumber langsung dari dokumen resmi perkara sehingga tidak ada data yang digunakan tanpa dasar dokumen. Data yang diperoleh dari putusan diperlakukan sebagai data primer, sedangkan literatur dan hasil penelitian terdahulu diperlakukan sebagai data sekunder. Penelusuran bahan hukum dilakukan dengan memprioritaskan sumber resmi, yaitu dokumen perkara, basis data peraturan perundang-undangan, dan publikasi resmi lembaga negara, kemudian dilengkapi artikel jurnal ilmiah nasional yang relevan. Setiap angka kerugian, nomor pasal, dan nomor dokumen yang dikutip diperiksa ulang terhadap sumber aslinya sebelum digunakan dalam analisis.</w:t>
      </w:r>
    </w:p>
    <w:p>
      <w:pPr>
        <w:pStyle w:val="Heading2"/>
        <w:ind w:right="322"/>
        <w:rPr>
          <w:rStyle w:val="mediumtext"/>
        </w:rPr>
      </w:pPr>
      <w:r>
        <w:rPr>
          <w:rStyle w:val="mediumtext"/>
        </w:rPr>
        <w:t xml:space="preserve">2.5 Teknik Analisis Bahan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Bahan hukum dianalisis secara deskriptif-kualitatif melalui tiga tahap yang berurutan. Tahap pertama adalah identifikasi normatif, yaitu menguraikan konstruksi dakwaan beserta unsur Pasal 2 ayat (1) dan Pasal 3 Undang-Undang Pemberantasan Tindak Pidana Korupsi. Tahap kedua adalah konfrontasi, yaitu mempertemukan unsur tersebut dengan fakta hukum yang terungkap di persidangan dan dengan pertimbangan majelis hakim. Tahap ketiga adalah penilaian normatif, yaitu mengukur hasil konfrontasi tersebut dengan teori tujuan hukum yang mencakup keadilan, kepastian hukum, dan kemanfaatan, dengan teori pemidanaan, serta dengan tahapan dan matriks rentang penjatuhan pidana dalam Peraturan Mahkamah Agung Nomor 1 Tahun 2020 (Mahkamah Agung Republik Indonesia, 2021).</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deduktif, yaitu bergerak dari norma umum menuju penilaian atas kasus konkret. Analisis bersifat evaluatif terhadap konstruksi penalaran dalam putusan dan tidak dimaksudkan untuk menilai integritas personal majelis hakim. Keterbatasan penelitian dikemukakan secara terbuka: karena hanya satu putusan yang dianalisis, temuan tidak dimaksudkan untuk digeneralisasi ke seluruh praktik pemidanaan korupsi pengadaan alat kesehatan, melainkan untuk menyediakan analisis mendalam atas satu konstruksi penalaran hukum yang konkret.</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analisis dakwaan Penuntut Umum dan analisis pertimbangan hukum majelis hakim, kemudian dilanjutkan dengan pengujian proporsionalitas pidana serta implikasinya bagi pemulihan kerugian keuangan negara.</w:t>
      </w:r>
    </w:p>
    <w:p>
      <w:pPr>
        <w:pStyle w:val="Heading2"/>
        <w:ind w:right="322"/>
        <w:rPr>
          <w:rStyle w:val="mediumtext"/>
        </w:rPr>
      </w:pPr>
      <w:r>
        <w:rPr>
          <w:rStyle w:val="mediumtext"/>
        </w:rPr>
        <w:t xml:space="preserve">3.1 Konstruksi Dakwaan Penuntut Umum dan Konsekuensi Yuridisnya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Penuntut Umum menyusun dakwaan dalam bentuk subsidiaritas, dengan dakwaan primair Pasal 2 ayat (1) dan dakwaan subsidair Pasal 3, keduanya juncto Pasal 18 ayat (1) huruf b Undang-Undang Nomor 31 Tahun 1999 sebagaimana telah diubah dengan Undang-Undang Nomor 20 Tahun 2001 juncto Pasal 55 ayat (1) ke-1 KUHP. Bentuk ini dipilih ketika penuntut umum belum sepenuhnya yakin kualifikasi mana yang akan terbukti, sehingga peristiwa pidana disusun bertingkat dari ancaman terberat menuju yang lebih ringan (Sofyan, 2014; Kasim &amp; Nusa, 2019). Menurut analisis penulis, pilihan tersebut sudah tepat karena perbuatan terdakwa berada pada wilayah abu-abu antara perbuatan melawan hukum dan penyalahgunaan kewenangan.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Perbedaan kedua lapisan dakwaan bukan sekadar perbedaan redaksi. Perbandingan konstruksi normatif dan konsekuensi pemidanaannya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Perbandingan Konstruksi Dakwaan Primair dan Dakwaan Subsidair</w:t>
      </w:r>
    </w:p>
    <w:tbl>
      <w:tblPr>
        <w:tblW w:w="0" w:type="auto"/>
        <w:jc w:val="center"/>
        <w:tblCellMar>
          <w:top w:w="40" w:type="dxa"/>
          <w:left w:w="80" w:type="dxa"/>
          <w:bottom w:w="40" w:type="dxa"/>
          <w:right w:w="80" w:type="dxa"/>
        </w:tblCellMar>
        <w:tblLook w:val="04A0" w:firstRow="1" w:lastRow="0" w:firstColumn="1" w:lastColumn="0" w:noHBand="0" w:noVBand="1"/>
      </w:tblPr>
      <w:tblGrid>
        <w:gridCol w:w="1900"/>
        <w:gridCol w:w="3000"/>
        <w:gridCol w:w="2900"/>
      </w:tblGrid>
      <w:tr>
        <w:trPr>
          <w:cantSplit/>
          <w:tblHeader/>
          <w:jc w:val="center"/>
        </w:trPr>
        <w:tc>
          <w:tcPr>
            <w:tcW w:w="1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Aspek Perbandingan</w:t>
            </w:r>
          </w:p>
        </w:tc>
        <w:tc>
          <w:tcPr>
            <w:tcW w:w="3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Dakwaan Primair (Pasal 2 ayat (1))</w:t>
            </w:r>
          </w:p>
        </w:tc>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Dakwaan Subsidair (Pasal 3)</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Inti perbuatan yang didakwakan</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Secara melawan hukum melakukan perbuatan memperkaya diri sendiri, orang lain, atau korporasi</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Menyalahgunakan kewenangan, kesempatan, atau sarana yang ada padanya karena jabatan atau kedudukan dengan tujuan menguntungkan</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Titik berat pembuktian</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Sifat melawan hukum perbuatan, yang setelah Putusan Mahkamah Konstitusi Nomor 003/PUU-IV/2006 dibaca dalam pengertian formil</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Adanya kewenangan yang melekat pada jabatan dan penyimpangan dalam penggunaannya</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Ancaman pidana penjara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Paling singkat 4 tahun dan paling lama 20 tahun</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Paling singkat 1 tahun dan paling lama 20 tahun</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Ancaman pidana denda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Paling sedikit Rp200.000.000,00 dan paling banyak Rp1.000.000.000,00</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Paling sedikit Rp50.000.000,00 dan paling banyak Rp1.000.000.000,00</w:t>
            </w:r>
          </w:p>
        </w:tc>
      </w:tr>
      <w:tr>
        <w:trPr>
          <w:cantSplit/>
          <w:jc w:val="center"/>
        </w:trPr>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Hasil pembuktian dalam perkara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Tidak terbukti; terdakwa dibebaskan dari dakwaan primair</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 secara sah dan meyakinkan</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Putusan Nomor 67/Pid.Sus-TPK/2022/PN Mks dan Undang-Undang Nomor 31 Tahun 1999 jo. Undang-Undang Nomor 20 Tahun 2001</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bahwa perpindahan dasar pemidanaan dari Pasal 2 ayat (1) ke Pasal 3 membawa konsekuensi langsung berupa turunnya batas minimum khusus pidana penjara dari empat tahun menjadi satu tahun dan turunnya batas minimum denda dari Rp200.000.000,00 menjadi Rp50.000.000,00. Secara yuridis, tidak terbuktinya dakwaan primair dapat dipahami. Sejak Putusan Mahkamah Konstitusi Nomor 003/PUU-IV/2006 menyatakan penjelasan Pasal 2 ayat (1) mengenai sifat melawan hukum materiil bertentangan dengan Undang-Undang Dasar Negara Republik Indonesia Tahun 1945, unsur melawan hukum pada Pasal 2 ayat (1) harus dibaca dalam pengertian formil sehingga pembuktiannya menjadi lebih ketat (Rachman &amp; Raspati, 2021).</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Jika dikaitkan dengan fakta hukum perkara ini, kesimpulan majelis hakim tersebut konsisten. Sumber cela perbuatan terdakwa bukan terletak pada tindakan yang berdiri sendiri di luar kewenangannya, melainkan justru pada penggunaan kewenangan yang sah sebagai pengguna anggaran merangkap pejabat pembuat komitmen untuk tujuan yang menyimpang, yaitu menetapkan harga perkiraan sendiri dan spesifikasi teknis yang disusun oleh calon penyedia serta melegitimasi survei harga yang tidak dilaksanakan sebagaimana mestinya. Konstruksi demikian merupakan wilayah khas Pasal 3, yakni menyalahgunakan kewenangan, kesempatan, atau sarana yang ada padanya karena jabatan atau kedudukan (Chazawi, 2016).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Meskipun demikian, penerapan Pasal 3 pada perkara dengan kerugian miliaran rupiah menempatkan hakim pada rentang ancaman yang sangat lebar, yaitu satu sampai dua puluh tahun. Lebar rentang inilah yang secara historis melahirkan disparitas pemidanaan dan menjadi alasan diterbitkannya pedoman pemidanaan (Indarsih, 2020), sehingga ketepatan dakwaan tidak dengan sendirinya menjamin ketepatan pada tahap penjatuhan pidana.</w:t>
      </w:r>
    </w:p>
    <w:p>
      <w:pPr>
        <w:pStyle w:val="Heading2"/>
        <w:ind w:right="322"/>
        <w:rPr>
          <w:rStyle w:val="mediumtext"/>
        </w:rPr>
      </w:pPr>
      <w:r>
        <w:rPr>
          <w:rStyle w:val="mediumtext"/>
        </w:rPr>
        <w:t xml:space="preserve">3.2 Pertimbangan Hukum Majelis Hakim pada Tahap Pembuktian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Karena dakwaan primair dinyatakan tidak terbukti, majelis hakim mempertimbangkan dakwaan subsidair dengan menguji unsur setiap orang; dengan tujuan menguntungkan diri sendiri; menyalahgunakan kewenangan, kesempatan, atau sarana yang ada padanya karena jabatan atau kedudukan; dapat merugikan keuangan negara atau perekonomian negara; serta unsur penyertaan. Konfrontasi antara unsur tersebut dengan fakta hukum yang terungkap di persidangan disajikan pada Tabel 2.</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Konfrontasi Unsur Pasal 3 UU Tipikor dengan Fakta Persidangan</w:t>
      </w:r>
    </w:p>
    <w:tbl>
      <w:tblPr>
        <w:tblW w:w="0" w:type="auto"/>
        <w:jc w:val="center"/>
        <w:tblCellMar>
          <w:top w:w="40" w:type="dxa"/>
          <w:left w:w="80" w:type="dxa"/>
          <w:bottom w:w="40" w:type="dxa"/>
          <w:right w:w="80" w:type="dxa"/>
        </w:tblCellMar>
        <w:tblLook w:val="04A0" w:firstRow="1" w:lastRow="0" w:firstColumn="1" w:lastColumn="0" w:noHBand="0" w:noVBand="1"/>
      </w:tblPr>
      <w:tblGrid>
        <w:gridCol w:w="2100"/>
        <w:gridCol w:w="3800"/>
        <w:gridCol w:w="1900"/>
      </w:tblGrid>
      <w:tr>
        <w:trPr>
          <w:cantSplit/>
          <w:tblHeader/>
          <w:jc w:val="center"/>
        </w:trPr>
        <w:tc>
          <w:tcPr>
            <w:tcW w:w="2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Unsur Pasal 3 UU Tipikor</w:t>
            </w:r>
          </w:p>
        </w:tc>
        <w:tc>
          <w:tcPr>
            <w:tcW w:w="38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Fakta Hukum di Persidangan</w:t>
            </w:r>
          </w:p>
        </w:tc>
        <w:tc>
          <w:tcPr>
            <w:tcW w:w="1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Penilaian Majelis Hakim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Setiap orang</w:t>
            </w:r>
          </w:p>
        </w:tc>
        <w:tc>
          <w:tcPr>
            <w:tcW w:w="3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Terdakwa adalah orang perseorangan berstatus pegawai negeri sipil yang identitasnya sesuai surat dakwaan dan dibenarkan di persidangan</w:t>
            </w:r>
          </w:p>
        </w:tc>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Dengan tujuan menguntungkan diri sendiri atau orang lain</w:t>
            </w:r>
          </w:p>
        </w:tc>
        <w:tc>
          <w:tcPr>
            <w:tcW w:w="3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Terdakwa menerima akomodasi perjalanan dan imbalan uang Rp200.000.000,00, sedangkan pihak penyedia memperoleh keuntungan dari pengadaan</w:t>
            </w:r>
          </w:p>
        </w:tc>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Menyalahgunakan kewenangan karena jabatan atau kedudukan</w:t>
            </w:r>
          </w:p>
        </w:tc>
        <w:tc>
          <w:tcPr>
            <w:tcW w:w="3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Selaku pengguna anggaran merangkap pejabat pembuat komitmen, terdakwa menetapkan harga perkiraan sendiri dan spesifikasi teknis yang disusun penyedia serta melegitimasi survei harga yang tidak dilaksanakan sebagaimana mestinya</w:t>
            </w:r>
          </w:p>
        </w:tc>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Dapat merugikan keuangan negara atau perekonomian negara</w:t>
            </w:r>
          </w:p>
        </w:tc>
        <w:tc>
          <w:tcPr>
            <w:tcW w:w="3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Kerugian sebesar Rp9.363.939.683,85 menurut Laporan Hasil Pemeriksaan Badan Pemeriksa Keuangan Nomor 28/LHP/XXI/12/2021 tanggal 29 Desember 2021</w:t>
            </w:r>
          </w:p>
        </w:tc>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Penyertaan (Pasal 55 ayat (1) ke-1 KUHP)</w:t>
            </w:r>
          </w:p>
        </w:tc>
        <w:tc>
          <w:tcPr>
            <w:tcW w:w="3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Perbuatan dilakukan bersama-sama dengan sejumlah pihak yang diadili dalam berkas terpisah</w:t>
            </w:r>
          </w:p>
        </w:tc>
        <w:tc>
          <w:tcPr>
            <w:tcW w:w="1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Terbukti</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Putusan Nomor 67/Pid.Sus-TPK/2022/PN Mks (2022)</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2 memperlihatkan bahwa majelis hakim tidak berhenti pada pengutipan rumusan pasal, melainkan mempertemukan setiap unsur dengan fakta hukum, alat bukti, dan keterangan yang terungkap di persidangan. Pola ini sejalan dengan pemahaman Mulyadi (2009) bahwa pertimbangan hukum atau </w:t>
      </w:r>
      <w:r>
        <w:rPr>
          <w:rStyle w:val="longtext"/>
          <w:rFonts w:ascii="Segoe UI" w:hAnsi="Segoe UI" w:cs="Segoe UI"/>
          <w:i/>
          <w:iCs/>
          <w:sz w:val="22"/>
          <w:szCs w:val="22"/>
          <w:shd w:val="clear" w:color="auto" w:fill="FFFFFF"/>
          <w:lang w:val="id"/>
        </w:rPr>
        <w:t xml:space="preserve">ratio decidendi</w:t>
      </w:r>
      <w:r>
        <w:rPr>
          <w:rStyle w:val="longtext"/>
          <w:rFonts w:ascii="Segoe UI" w:hAnsi="Segoe UI" w:cs="Segoe UI"/>
          <w:sz w:val="22"/>
          <w:szCs w:val="22"/>
          <w:shd w:val="clear" w:color="auto" w:fill="FFFFFF"/>
          <w:lang w:val="id"/>
        </w:rPr>
        <w:t xml:space="preserve"> harus dituangkan sebagai analisis, argumentasi, pendapat, dan kesimpulan hakim yang tersusun secara sistematis, logis, dan saling berhubungan. Berdasarkan konstruksi hukum tersebut, penulis berpendapat bahwa pertimbangan majelis hakim pada tahap pembuktian telah dilakukan dalam rangka penegakan hukum berdasarkan fakta-fakta persidangan, sehingga tujuan kepastian hukum terpenuhi pada tahap ini.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Perlu digarisbawahi bahwa unsur dapat merugikan keuangan negara pada Pasal 3 bersifat formil, karena kata dapat menunjuk pada potensi kerugian dan bukan kerugian yang telah pasti terealisasi (Rachman &amp; Raspati, 2021). Dalam perkara ini kerugian bahkan telah dihitung secara riil oleh Badan Pemeriksa Keuangan, sehingga pemenuhan unsur tersebut berada jauh di atas ambang minimal yang disyaratkan norma dan semestinya diperhitungkan pada tahap penentuan berat ringannya pidana.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Persoalan justru muncul ketika penalaran bergeser dari tahap pembuktian ke tahap pemidanaan. Pasal 5 ayat (1) Undang-Undang Nomor 48 Tahun 2009 tentang Kekuasaan Kehakiman mewajibkan hakim menggali, mengikuti, dan memahami nilai-nilai hukum dan rasa keadilan yang hidup dalam masyarakat, yang berarti pertimbangan tidak boleh berhenti pada aspek yuridis normatif tetapi juga menuntut dipertimbangkannya aspek filosofis dan sosiologis. Dalam putusan </w:t>
      </w:r>
      <w:r>
        <w:rPr>
          <w:rStyle w:val="longtext"/>
          <w:rFonts w:ascii="Segoe UI" w:hAnsi="Segoe UI" w:cs="Segoe UI"/>
          <w:i/>
          <w:iCs/>
          <w:sz w:val="22"/>
          <w:szCs w:val="22"/>
          <w:shd w:val="clear" w:color="auto" w:fill="FFFFFF"/>
          <w:lang w:val="id"/>
        </w:rPr>
        <w:t xml:space="preserve">a quo</w:t>
      </w:r>
      <w:r>
        <w:rPr>
          <w:rStyle w:val="longtext"/>
          <w:rFonts w:ascii="Segoe UI" w:hAnsi="Segoe UI" w:cs="Segoe UI"/>
          <w:sz w:val="22"/>
          <w:szCs w:val="22"/>
          <w:shd w:val="clear" w:color="auto" w:fill="FFFFFF"/>
          <w:lang w:val="id"/>
        </w:rPr>
        <w:t xml:space="preserve">, aspek yuridis normatif diuraikan secara kuat, tetapi dasar penentuan kuantum pidana tidak memperoleh elaborasi yang sebanding.</w:t>
      </w:r>
    </w:p>
    <w:p>
      <w:pPr>
        <w:pStyle w:val="Heading2"/>
        <w:ind w:right="322"/>
        <w:rPr>
          <w:rStyle w:val="mediumtext"/>
        </w:rPr>
      </w:pPr>
      <w:r>
        <w:rPr>
          <w:rStyle w:val="mediumtext"/>
        </w:rPr>
        <w:t xml:space="preserve">3.3 Proporsionalitas Pidana dan Pemulihan Kerugian Keuangan Negara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Perkara ini diadili ketika Peraturan Mahkamah Agung Nomor 1 Tahun 2020 telah berlaku. Peraturan tersebut mewajibkan hakim menempuh enam tahapan secara berurutan, yaitu menentukan kategori kerugian keuangan negara; menentukan tingkat kesalahan, dampak, dan keuntungan; memilih rentang penjatuhan pidana; mempertimbangkan keadaan yang memberatkan dan meringankan; menjatuhkan pidana; serta mempertimbangkan ketentuan lain yang berkaitan dengan penjatuhan pidana, disertai uraian fakta persidangan secara naratif dalam pertimbangan hukum (Mahkamah Agung Republik Indonesia, 2021). Penerapan tahapan tersebut pada perkara ini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Pengujian Pidana yang Dijatuhkan terhadap Pedoman Pemidanaan</w:t>
      </w:r>
    </w:p>
    <w:tbl>
      <w:tblPr>
        <w:tblW w:w="0" w:type="auto"/>
        <w:jc w:val="center"/>
        <w:tblCellMar>
          <w:top w:w="40" w:type="dxa"/>
          <w:left w:w="80" w:type="dxa"/>
          <w:bottom w:w="40" w:type="dxa"/>
          <w:right w:w="80" w:type="dxa"/>
        </w:tblCellMar>
        <w:tblLook w:val="04A0" w:firstRow="1" w:lastRow="0" w:firstColumn="1" w:lastColumn="0" w:noHBand="0" w:noVBand="1"/>
      </w:tblPr>
      <w:tblGrid>
        <w:gridCol w:w="2400"/>
        <w:gridCol w:w="2600"/>
        <w:gridCol w:w="2800"/>
      </w:tblGrid>
      <w:tr>
        <w:trPr>
          <w:cantSplit/>
          <w:tblHeader/>
          <w:jc w:val="center"/>
        </w:trPr>
        <w:tc>
          <w:tcPr>
            <w:tcW w:w="24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Tahapan Perma Nomor 1 Tahun 2020</w:t>
            </w:r>
          </w:p>
        </w:tc>
        <w:tc>
          <w:tcPr>
            <w:tcW w:w="26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Penerapan pada Perkara a quo</w:t>
            </w:r>
          </w:p>
        </w:tc>
        <w:tc>
          <w:tcPr>
            <w:tcW w:w="28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Keterangan</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Tahap I: kategori kerugian keuangan negara</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Rp9.363.939.683,85</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Kategori sedang, yaitu lebih dari Rp1 miliar sampai dengan Rp25 miliar</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Tahap II: tingkat kesalahan, dampak, dan keuntungan</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Diasumsikan rendah</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Asumsi paling menguntungkan terdakwa; beberapa indikator justru mengarah ke tingkat lebih tinggi</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Tahap III: rentang penjatuhan pidana</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Penjara 6–8 tahun dan denda Rp300.000.000,00–Rp400.000.000,00</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Rentang terendah yang mungkin untuk kategori kerugian sedang</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Tahap V: pidana yang dijatuhkan</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Penjara 2 tahun dan denda Rp50.000.000,00</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Denda dijatuhkan tepat pada batas minimum absolut Pasal 3</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Selisih terhadap rentang</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Sekurang-kurangnya 4 tahun dan Rp250.000.000,00</w:t>
            </w:r>
          </w:p>
        </w:tc>
        <w:tc>
          <w:tcPr>
            <w:tcW w:w="28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Pidana berada di bawah batas bawah rentang tanpa uraian alasan penyimpangan</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Putusan Nomor 67/Pid.Sus-TPK/2022/PN Mks dan Peraturan Mahkamah Agung Nomor 1 Tahun 2020</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Perhitungan pada Tabel 3 sengaja disusun dengan asumsi yang paling menguntungkan terdakwa. Dua indikator pada aspek keuntungan memang mengarah ke tingkat rendah, karena nilai harta benda yang diperoleh terdakwa hanya sekitar 2,14% dari total kerugian dan seluruh nilai tersebut telah dikembalikan melalui uang titipan Rp60.000.000,00 serta barang bukti uang tunai dua kali Rp70.000.000,00. Namun beberapa indikator lain justru mengarah ke tingkat yang lebih tinggi: peran terdakwa paling signifikan karena tanpa penyalahgunaan kewenangannya pengadaan tidak akan berjalan, terdapat perencanaan berupa penyusunan harga perkiraan sendiri oleh calon penyedia, hasil pengadaan tidak sesuai spesifikasi, dan penerima layanan adalah pasien rumah sakit ibu dan anak yang termasuk kelompok masyarakat rentan. Sekalipun demikian, bahkan pada rentang terendah yang mungkin, pidana penjara dua tahun berada sekurang-kurangnya empat tahun di bawah batas bawah rentang, sedangkan denda dijatuhkan tepat pada batas minimum absolut Pasal 3.</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Jika dikaitkan dengan teori pemidanaan, temuan tersebut memperlihatkan ketimpangan. Dari perspektif teori relatif yang menekankan pencegahan, pidana yang berada jauh di bawah pedoman sulit menghasilkan prevensi umum yang memadai pada sektor yang justru diketahui paling rawan. Dari perspektif teori tujuan hukum, kepastian hukum secara formal tetap terpenuhi karena pidana masih berada dalam rentang ancaman Pasal 3, tetapi keadilan dan kemanfaatan tidak tercapai secara seimbang. Temuan ini sejalan dengan Hadi dan Nova (2023) yang menemukan pola serupa pada putusan lain, yaitu pidana yang dijatuhkan lebih rendah daripada tingkat kesalahan terdakwa, dan menegaskan kekhawatiran Saragih dan Ariansyah (2022) bahwa pedoman pemidanaan tidak akan bekerja apabila tidak diuraikan secara eksplisit dalam pertimbangan putusan.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Dimensi berikutnya adalah pemulihan kerugian keuangan negara. Uang pengganti sebesar Rp200.000.000,00 secara normatif sudah benar, karena Pasal 18 ayat (1) huruf b Undang-Undang Pemberantasan Tindak Pidana Korupsi membatasinya sebanyak-banyaknya sama dengan harta benda yang diperoleh dari tindak pidana korupsi. Konsekuensinya, jumlah itu hanya menutup sekitar 2,14% dari kerugian, sedangkan sisanya sebesar Rp8.567.049.683,85 dibebankan kepada ahli waris pihak yang paling banyak menikmati hasil korupsi dan telah meninggal dunia.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Menurut analisis penulis, pembebanan tersebut mengandung persoalan yuridis. Ahli waris bukan pihak dalam perkara pidana, tidak pernah didengar keterangannya, dan tidak memiliki sarana untuk membela diri dalam proses tersebut, sedangkan pertanggungjawaban pidana bersifat personal dan gugur karena meninggalnya pelaku sebagaimana Pasal 77 KUHP. Undang-Undang Pemberantasan Tindak Pidana Korupsi sendiri telah menyediakan jalannya. Pasal 33 mengatur penyerahan berkas kepada Jaksa Pengacara Negara atau instansi yang dirugikan untuk gugatan perdata terhadap ahli waris apabila tersangka meninggal dunia pada tahap penyidikan, dan Pasal 34 mengatur hal serupa apabila terdakwa meninggal dunia pada tahap persidangan. Berdasarkan konstruksi hukum tersebut, pemulihan kerugian terhadap ahli waris semestinya ditempuh melalui gugatan perdata, bukan melalui amar putusan pidana atas nama terdakwa lain, agar kepastian eksekusinya terjaga dan hak ahli waris untuk didengar tidak terabaikan.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ini memperoleh relevansi tambahan pada masa transisi hukum pidana nasional. Sejak 2 Januari 2026, delik inti korupsi dimuat dalam Pasal 603 dan Pasal 604 Undang-Undang Nomor 1 Tahun 2023 tentang Kitab Undang-Undang Hukum Pidana, dan Pudjoharsoyo (2026) berpendapat bahwa metodologi bertahap dalam pedoman pemidanaan tetap relevan sebagai kerangka penalaran meskipun rujukan pasalnya berubah. Kritik terhadap putusan ini karenanya bukan sekadar koreksi atas satu perkara yang telah lampau.</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dakwaan Jaksa Penuntut Umum dalam tindak pidana korupsi pengadaan alat kesehatan berdasarkan Putusan Nomor 67/Pid.Sus-TPK/2022/PN Mks menunjukkan bahwa bentuk dakwaan subsidiaritas telah disusun secara tepat. Terdakwa dinyatakan tidak terbukti melanggar dakwaan primair Pasal 2 ayat (1) dan terbukti secara sah dan meyakinkan melanggar dakwaan subsidair Pasal 3 juncto Pasal 18 ayat (1) huruf b Undang-Undang Nomor 31 Tahun 1999 sebagaimana telah diubah dengan Undang-Undang Nomor 20 Tahun 2001 juncto Pasal 55 ayat (1) ke-1 KUHP, dengan pidana penjara dua tahun dan denda Rp50.000.000,00. Hasil pembuktian tersebut bersesuaian dengan fakta hukum karena cela perbuatan terdakwa bertumpu pada penyalahgunaan kewenangan yang melekat pada jabatannya sebagai pengguna anggaran merangkap pejabat pembuat komitmen, sekaligus membawa konsekuensi turunnya batas minimum khusus pidana yang dapat dijatuhkan.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pertimbangan hukum majelis hakim menunjukkan bahwa penegakan hukum telah dilakukan berdasarkan fakta-fakta persidangan, sehingga kesimpulan mengenai terbuktinya kesalahan terdakwa dapat dipertanggungjawabkan. Kelemahannya terletak pada tahap penentuan berat ringannya pidana. Dengan kerugian keuangan negara sebesar Rp9.363.939.683,85 yang termasuk kategori sedang, pidana penjara dua tahun berada sekurang-kurangnya empat tahun di bawah batas bawah rentang pemidanaan yang dibakukan, bahkan pada asumsi tingkat kesalahan, dampak, dan keuntungan yang paling menguntungkan terdakwa, sementara denda dijatuhkan tepat pada batas minimum absolut. Uang pengganti sebesar Rp200.000.000,00 hanya menutup sekitar 2,14% kerugian, sedangkan pembebanan sisanya kepada ahli waris pihak yang telah meninggal dunia melalui amar putusan pidana tidak sejalan dengan jalur yang disediakan Pasal 33 dan Pasal 34 Undang-Undang Pemberantasan Tindak Pidana Korupsi.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majelis hakim menguraikan tahapan penentuan pidana secara eksplisit dalam pertimbangan hukum, dengan menyebutkan kategori kerugian, tingkat kesalahan, dampak, dan keuntungan, serta rentang yang dipilih, dan menjelaskan alasannya apabila hendak menyimpang dari rentang tersebut. Penuntut umum disarankan menyusun tuntutan yang secara terbuka merujuk pada pedoman pemidanaan dan menempuh gugatan perdata terhadap ahli waris pelaku yang telah meninggal dunia sesuai Pasal 33 dan Pasal 34 Undang-Undang Pemberantasan Tindak Pidana Korupsi, agar pemulihan kerugian tidak bergantung pada amar yang membebani pihak di luar perkara.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 pengelola rumah sakit daerah, temuan penelitian menegaskan perlunya pemisahan fungsi antara pengguna anggaran dan pejabat pembuat komitmen, larangan penyusunan harga perkiraan sendiri dan spesifikasi teknis oleh calon penyedia, serta verifikasi berjenjang atas dokumen survei harga. Secara akademik, penelitian selanjutnya disarankan memperluas objek kajian pada sejumlah putusan korupsi sektor kesehatan dari beberapa pengadilan tindak pidana korupsi agar pola kepatuhan terhadap pedoman pemidanaan dapat dipetakan secara lebih memadai, serta menguji penerapan Pasal 603 dan Pasal 604 Undang-Undang Nomor 1 Tahun 2023 setelah kodifikasi tersebut berjalan efektif.</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Chazawi, A. (2016). </w:t>
      </w:r>
      <w:r>
        <w:rPr>
          <w:rFonts w:cs="Segoe UI"/>
          <w:i/>
          <w:iCs/>
          <w:noProof/>
        </w:rPr>
        <w:t xml:space="preserve">Hukum pidana korupsi di Indonesia</w:t>
      </w:r>
      <w:r>
        <w:rPr>
          <w:rFonts w:cs="Segoe UI"/>
          <w:noProof/>
        </w:rPr>
        <w:t xml:space="preserve"> (Edisi revisi). RajaGrafindo Persada.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Hadi, D. F., &amp; Nova, E. (2023). Penerapan PERMA Nomor 1 Tahun 2020 dalam perkara tindak pidana korupsi (Studi kasus Putusan Nomor 33/Pid.Sus/TPK/2020/PN Pdg). </w:t>
      </w:r>
      <w:r>
        <w:rPr>
          <w:rFonts w:cs="Segoe UI"/>
          <w:i/>
          <w:iCs/>
          <w:noProof/>
        </w:rPr>
        <w:t xml:space="preserve">Delicti: Jurnal Hukum Pidana dan Kriminologi</w:t>
      </w:r>
      <w:r>
        <w:rPr>
          <w:rFonts w:cs="Segoe UI"/>
          <w:noProof/>
        </w:rPr>
        <w:t xml:space="preserve">, </w:t>
      </w:r>
      <w:r>
        <w:rPr>
          <w:rFonts w:cs="Segoe UI"/>
          <w:i/>
          <w:iCs/>
          <w:noProof/>
        </w:rPr>
        <w:t xml:space="preserve">1</w:t>
      </w:r>
      <w:r>
        <w:rPr>
          <w:rFonts w:cs="Segoe UI"/>
          <w:noProof/>
        </w:rPr>
        <w:t xml:space="preserve">(2), 1–14. https://doi.org/10.25077/delicti.v.1.i.2.p.1-14.2023</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Indarsih, Y. (2020). Peranan PERMA No. 1 Tahun 2020 tentang pedoman pemidanaan Pasal 2 dan Pasal 3 Undang-Undang Pemberantasan Tindak Pidana Korupsi dalam rangka menanggulangi disparitas pemidanaan. </w:t>
      </w:r>
      <w:r>
        <w:rPr>
          <w:rFonts w:cs="Segoe UI"/>
          <w:i/>
          <w:iCs/>
          <w:noProof/>
        </w:rPr>
        <w:t xml:space="preserve">Jurnal Ilmiah Bina Wakya</w:t>
      </w:r>
      <w:r>
        <w:rPr>
          <w:rFonts w:cs="Segoe UI"/>
          <w:noProof/>
        </w:rPr>
        <w:t xml:space="preserve">, </w:t>
      </w:r>
      <w:r>
        <w:rPr>
          <w:rFonts w:cs="Segoe UI"/>
          <w:i/>
          <w:iCs/>
          <w:noProof/>
        </w:rPr>
        <w:t xml:space="preserve">15</w:t>
      </w:r>
      <w:r>
        <w:rPr>
          <w:rFonts w:cs="Segoe UI"/>
          <w:noProof/>
        </w:rPr>
        <w:t xml:space="preserve">(4), 4369–4386.</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Indonesia Corruption Watch. (n.d.). </w:t>
      </w:r>
      <w:r>
        <w:rPr>
          <w:rFonts w:cs="Segoe UI"/>
          <w:i/>
          <w:iCs/>
          <w:noProof/>
        </w:rPr>
        <w:t xml:space="preserve">Tren korupsi kesehatan</w:t>
      </w:r>
      <w:r>
        <w:rPr>
          <w:rFonts w:cs="Segoe UI"/>
          <w:noProof/>
        </w:rPr>
        <w:t xml:space="preserve">. Indonesia Corruption Watch.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Kasim, R., &amp; Nusa, A. (2019). </w:t>
      </w:r>
      <w:r>
        <w:rPr>
          <w:rFonts w:cs="Segoe UI"/>
          <w:i/>
          <w:iCs/>
          <w:noProof/>
        </w:rPr>
        <w:t xml:space="preserve">Hukum acara pidana: Teori, asas &amp; perkembangan pasca putusan Mahkamah Konstitusi</w:t>
      </w:r>
      <w:r>
        <w:rPr>
          <w:rFonts w:cs="Segoe UI"/>
          <w:noProof/>
        </w:rPr>
        <w:t xml:space="preserve"> (Cet. 1). Setara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Agung Republik Indonesia. (2021). </w:t>
      </w:r>
      <w:r>
        <w:rPr>
          <w:rFonts w:cs="Segoe UI"/>
          <w:i/>
          <w:iCs/>
          <w:noProof/>
        </w:rPr>
        <w:t xml:space="preserve">Buku saku Peraturan Mahkamah Agung Nomor 1 Tahun 2020 tentang pedoman pemidanaan Pasal 2 dan Pasal 3 Undang-Undang Pemberantasan Tindak Pidana Korupsi</w:t>
      </w:r>
      <w:r>
        <w:rPr>
          <w:rFonts w:cs="Segoe UI"/>
          <w:noProof/>
        </w:rPr>
        <w:t xml:space="preserve">. Mahkamah Agung Republik Indonesia bersama MaPPI FH UI.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(2014). </w:t>
      </w:r>
      <w:r>
        <w:rPr>
          <w:rFonts w:cs="Segoe UI"/>
          <w:i/>
          <w:iCs/>
          <w:noProof/>
        </w:rPr>
        <w:t xml:space="preserve">Penelitian hukum</w:t>
      </w:r>
      <w:r>
        <w:rPr>
          <w:rFonts w:cs="Segoe UI"/>
          <w:noProof/>
        </w:rPr>
        <w:t xml:space="preserve">. Prenadamedia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Mulyadi, L. (2009). </w:t>
      </w:r>
      <w:r>
        <w:rPr>
          <w:rFonts w:cs="Segoe UI"/>
          <w:i/>
          <w:iCs/>
          <w:noProof/>
        </w:rPr>
        <w:t xml:space="preserve">Pergeseran perspektif dan praktek dari Mahkamah Agung mengenai putusan</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Pudjoharsoyo, A. S. (2026, 2 Januari). </w:t>
      </w:r>
      <w:r>
        <w:rPr>
          <w:rFonts w:cs="Segoe UI"/>
          <w:i/>
          <w:iCs/>
          <w:noProof/>
        </w:rPr>
        <w:t xml:space="preserve">Status keberlakuan PERMA 1/2020 setelah KUHP Nasional berlaku</w:t>
      </w:r>
      <w:r>
        <w:rPr>
          <w:rFonts w:cs="Segoe UI"/>
          <w:noProof/>
        </w:rPr>
        <w:t xml:space="preserve"> [Tulisan hukum]. JDIH Mahkamah Agung Republik Indonesia. https://jdih.mahkamahagung.go.id/tulisan-hukum-detail/status-perma-12020-setelah-kuhp-nasional-berlaku-0JZ</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Rachman, T., &amp; Raspati, L. (2021). Menakar makna merugikan perekonomian negara dalam Undang-Undang Tipikor. </w:t>
      </w:r>
      <w:r>
        <w:rPr>
          <w:rFonts w:cs="Segoe UI"/>
          <w:i/>
          <w:iCs/>
          <w:noProof/>
        </w:rPr>
        <w:t xml:space="preserve">Nagari Law Review</w:t>
      </w:r>
      <w:r>
        <w:rPr>
          <w:rFonts w:cs="Segoe UI"/>
          <w:noProof/>
        </w:rPr>
        <w:t xml:space="preserve">, </w:t>
      </w:r>
      <w:r>
        <w:rPr>
          <w:rFonts w:cs="Segoe UI"/>
          <w:i/>
          <w:iCs/>
          <w:noProof/>
        </w:rPr>
        <w:t xml:space="preserve">4</w:t>
      </w:r>
      <w:r>
        <w:rPr>
          <w:rFonts w:cs="Segoe UI"/>
          <w:noProof/>
        </w:rPr>
        <w:t xml:space="preserve">(2), 225–238. https://doi.org/10.25077/nalrev.v.4.i.2.p.225-238.2021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Saragih, Y. M., &amp; Ariansyah, A. (2022). Kebijakan pedoman pemidanaan terhadap pelaku tindak pidana korupsi. </w:t>
      </w:r>
      <w:r>
        <w:rPr>
          <w:rFonts w:cs="Segoe UI"/>
          <w:i/>
          <w:iCs/>
          <w:noProof/>
        </w:rPr>
        <w:t xml:space="preserve">Jurnal Sosial Ekonomi dan Humaniora</w:t>
      </w:r>
      <w:r>
        <w:rPr>
          <w:rFonts w:cs="Segoe UI"/>
          <w:noProof/>
        </w:rPr>
        <w:t xml:space="preserve">, </w:t>
      </w:r>
      <w:r>
        <w:rPr>
          <w:rFonts w:cs="Segoe UI"/>
          <w:i/>
          <w:iCs/>
          <w:noProof/>
        </w:rPr>
        <w:t xml:space="preserve">8</w:t>
      </w:r>
      <w:r>
        <w:rPr>
          <w:rFonts w:cs="Segoe UI"/>
          <w:noProof/>
        </w:rPr>
        <w:t xml:space="preserve">(1), 114–120. https://doi.org/10.29303/jseh.v8i1.30</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Sofyan, A. (2014). </w:t>
      </w:r>
      <w:r>
        <w:rPr>
          <w:rFonts w:cs="Segoe UI"/>
          <w:i/>
          <w:iCs/>
          <w:noProof/>
        </w:rPr>
        <w:t xml:space="preserve">Hukum acara pidana: Suatu pengantar</w:t>
      </w:r>
      <w:r>
        <w:rPr>
          <w:rFonts w:cs="Segoe UI"/>
          <w:noProof/>
        </w:rPr>
        <w:t xml:space="preserve">.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1946 tentang Peraturan Hukum Pidana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31 Tahun 1999 tentang Pemberantasan Tindak Pidana Korupsi sebagaimana telah diubah dengan Undang-Undang Republik Indonesia Nomor 20 Tahun 2001.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48 Tahun 2009 tentang Kekuasaan Kehakiman.</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Presiden Republik Indonesia Nomor 54 Tahun 2010 tentang Pengadaan Barang/Jasa Pemerintah.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Kepala Lembaga Kebijakan Pengadaan Barang/Jasa Pemerintah Nomor 1 Tahun 2015 tentang E-Tendering.</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Mahkamah Agung Republik Indonesia Nomor 1 Tahun 2020 tentang Pedoman Pemidanaan Pasal 2 dan Pasal 3 Undang-Undang Pemberantasan Tindak Pidana Korupsi.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Konstitusi Republik Indonesia. (2006). </w:t>
      </w:r>
      <w:r>
        <w:rPr>
          <w:rFonts w:cs="Segoe UI"/>
          <w:i/>
          <w:iCs/>
          <w:noProof/>
        </w:rPr>
        <w:t xml:space="preserve">Putusan Nomor 003/PUU-IV/2006</w:t>
      </w:r>
      <w:r>
        <w:rPr>
          <w:rFonts w:cs="Segoe UI"/>
          <w:noProof/>
        </w:rPr>
        <w:t xml:space="preserve">.</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Badan Pemeriksa Keuangan Republik Indonesia. (2021). </w:t>
      </w:r>
      <w:r>
        <w:rPr>
          <w:rFonts w:cs="Segoe UI"/>
          <w:i/>
          <w:iCs/>
          <w:noProof/>
        </w:rPr>
        <w:t xml:space="preserve">Laporan hasil pemeriksaan investigasi dalam rangka penghitungan kerugian keuangan negara/daerah atas pengadaan alat-alat kedokteran umum pada Rumah Sakit Khusus Daerah Ibu dan Anak Siti Fatimah Tahun Anggaran 2016</w:t>
      </w:r>
      <w:r>
        <w:rPr>
          <w:rFonts w:cs="Segoe UI"/>
          <w:noProof/>
        </w:rPr>
        <w:t xml:space="preserve"> (Nomor 28/LHP/XXI/12/2021).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Pengadilan Negeri Makassar. (2022). </w:t>
      </w:r>
      <w:r>
        <w:rPr>
          <w:rFonts w:cs="Segoe UI"/>
          <w:i/>
          <w:iCs/>
          <w:noProof/>
        </w:rPr>
        <w:t xml:space="preserve">Putusan Nomor 67/Pid.Sus-TPK/2022/PN Mks</w:t>
      </w:r>
      <w:r>
        <w:rPr>
          <w:rFonts w:cs="Segoe UI"/>
          <w:noProof/>
        </w:rPr>
        <w:t xml:space="preserve">.</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Joe Mazmur Wattimena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