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sidRPr="003A4408">
        <w:rPr>
          <w:rFonts w:cs="Segoe UI"/>
          <w:b/>
          <w:bCs/>
          <w:sz w:val="30"/>
          <w:szCs w:val="30"/>
          <w:lang w:val="id"/>
        </w:rPr>
        <w:t xml:space="preserve">Implementasi Perlindungan Hukum Saksi Pelapor Tindak Pidana Korupsi Pasca Undang-Undang Nomor 3 Tahun 2026</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 xml:space="preserve">Jecky Gerald Loupatty</w:t>
      </w:r>
      <w:r w:rsidRPr="00886EB8">
        <w:rPr>
          <w:rFonts w:cs="Segoe UI"/>
          <w:b/>
          <w:bCs/>
          <w:sz w:val="24"/>
          <w:szCs w:val="24"/>
          <w:lang w:val="fi-FI"/>
          <w:vertAlign w:val="superscript"/>
        </w:rPr>
        <w:t xml:space="preserve">1</w:t>
      </w:r>
      <w:r w:rsidRPr="00886EB8">
        <w:rPr>
          <w:rFonts w:cs="Segoe UI"/>
          <w:b/>
          <w:bCs/>
          <w:sz w:val="24"/>
          <w:szCs w:val="24"/>
          <w:lang w:val="fi-FI"/>
        </w:rPr>
        <w:t xml:space="preserve">*</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vertAlign w:val="superscript"/>
          <w:lang w:val="fi-FI"/>
        </w:rPr>
        <w:t>1</w:t>
      </w:r>
      <w:r w:rsidRPr="007677D4">
        <w:rPr>
          <w:rFonts w:cs="Segoe UI"/>
          <w:sz w:val="20"/>
          <w:szCs w:val="20"/>
          <w:lang w:val="fi-FI"/>
        </w:rPr>
        <w:t xml:space="preserve"> </w:t>
      </w:r>
      <w:r w:rsidR="006F20C0" w:rsidRPr="007677D4">
        <w:rPr>
          <w:rFonts w:cs="Segoe UI"/>
          <w:sz w:val="20"/>
          <w:szCs w:val="20"/>
          <w:lang w:val="fi-FI"/>
        </w:rPr>
        <w:t xml:space="preserve">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sidRPr="007677D4">
          <w:rPr>
            <w:rStyle w:val="Hyperlink"/>
            <w:rFonts w:cs="Segoe UI"/>
            <w:i/>
            <w:sz w:val="18"/>
            <w:szCs w:val="18"/>
            <w:lang w:val="fi-FI"/>
          </w:rPr>
          <w:t xml:space="preserve">jecky@ukipaulus.ac.id</w:t>
        </w:r>
      </w:hyperlink>
      <w:r w:rsidR="001E0508" w:rsidRPr="007677D4">
        <w:rPr>
          <w:rFonts w:cs="Segoe UI"/>
          <w:i/>
          <w:sz w:val="18"/>
          <w:szCs w:val="18"/>
          <w:lang w:val="fi-FI"/>
        </w:rPr>
        <w:t xml:space="preserve"> </w:t>
      </w:r>
      <w:r w:rsidR="001E0508" w:rsidRPr="007677D4">
        <w:rPr>
          <w:rFonts w:cs="Segoe UI"/>
          <w:i/>
          <w:sz w:val="18"/>
          <w:szCs w:val="18"/>
          <w:lang w:val="en-US"/>
        </w:rPr>
        <w:t>(Korespondensi)</w:t>
      </w:r>
      <w:r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 xml:space="preserve">reporting witness, whistleblower, legal protection, corruption, witness protection, Law Number 3 of 2026</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 xml:space="preserve">saksi pelapor, whistleblower, perlindungan hukum, tindak pidana korupsi, LPSK, Undang-Undang Nomor 3 Tahun 2026</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332E82" w:rsidRPr="00332E82">
              <w:rPr>
                <w:rFonts w:cs="Segoe UI"/>
                <w:i/>
                <w:iCs/>
                <w:color w:val="000000"/>
                <w:sz w:val="20"/>
                <w:szCs w:val="20"/>
                <w:shd w:val="clear" w:color="auto" w:fill="FFFFFF"/>
              </w:rPr>
              <w:t xml:space="preserve">Corruption is systemic and clandestine, so proving it depends heavily on the testimony of reporting witnesses. This study analyses the forms of legal protection afforded to reporting witnesses in corruption cases and identifies the factors obstructing their implementation. It applies a normative juridical method with statutory, conceptual, and legal case study (legal memorandum) approaches, examining primary and secondary legal materials through descriptive-qualitative analysis. The findings show that protecting reporting witnesses derives from the state duty to safeguard human rights under Article 28G paragraph (1) and Article 28I paragraph (4) of the 1945 Constitution, yet the norms are scattered across instruments of unequal rank. The Anti-Corruption Law only guarantees the confidentiality of a reporter identity, while the Witness and Victim Protection Law never formulated the reporting witness as a distinct legal category. The obstacles are normative, institutional, budgetary, and cultural. Law Number 3 of 2026 on Witness and Victim Protection answers part of these problems by widening the subjects of protection and strengthening the protection agency, but harmonisation with anti-corruption legislation and implementing regulations remains unfinished. The study recommends normative harmonisation, regional representation of the agency, and structured legal socialisation.</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332E82" w:rsidRPr="00332E82">
              <w:rPr>
                <w:rFonts w:cs="Segoe UI"/>
                <w:color w:val="000000"/>
                <w:sz w:val="20"/>
                <w:szCs w:val="20"/>
                <w:shd w:val="clear" w:color="auto" w:fill="FFFFFF"/>
              </w:rPr>
              <w:t xml:space="preserve">Tindak pidana korupsi berkarakter sistemik dan tertutup sehingga pembuktiannya sangat bergantung pada keterangan saksi pelapor. Penelitian ini bertujuan menganalisis bentuk perlindungan hukum saksi pelapor dalam tindak pidana korupsi serta mengidentifikasi faktor yang menghambat implementasinya. Penelitian menggunakan metode yuridis normatif dengan pendekatan perundang-undangan, konseptual, dan studi kasus hukum (legal memorandum), dengan bahan hukum primer dan sekunder yang dianalisis secara deskriptif-kualitatif. Hasil penelitian menunjukkan bahwa perlindungan hukum saksi pelapor merupakan derivasi kewajiban negara melindungi hak asasi manusia sebagaimana Pasal 28G ayat (1) dan Pasal 28I ayat (4) UUD NRI Tahun 1945, namun normanya terserak dalam instrumen yang berbeda derajat. Undang-Undang Pemberantasan Tindak Pidana Korupsi hanya menjamin kerahasiaan identitas pelapor, sementara Undang-Undang Perlindungan Saksi dan Korban tidak merumuskan saksi pelapor sebagai kategori tersendiri. Hambatan implementasinya bersifat normatif, kelembagaan, anggaran, dan kultural. Undang-Undang Nomor 3 Tahun 2026 tentang Pelindungan Saksi dan Korban menjawab sebagian persoalan tersebut melalui perluasan subjek pelindungan dan penguatan kelembagaan LPSK, tetapi menyisakan pekerjaan harmonisasi dengan undang-undang antikorupsi dan pembentukan peraturan pelaksana. Penelitian merekomendasikan harmonisasi norma, penguatan perwakilan LPSK di daerah, serta sosialisasi hukum yang terstruktur.</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Informasi Artikel</w:t>
            </w:r>
            <w:r w:rsidRPr="00C676AF">
              <w:rPr>
                <w:rFonts w:cs="Segoe UI"/>
                <w:sz w:val="20"/>
                <w:szCs w:val="20"/>
              </w:rPr>
              <w:t xml:space="preserve">:  </w:t>
            </w:r>
            <w:r w:rsidR="00550BFE" w:rsidRPr="00C676AF">
              <w:rPr>
                <w:rFonts w:cs="Segoe UI"/>
                <w:sz w:val="20"/>
                <w:szCs w:val="20"/>
              </w:rPr>
              <w:t xml:space="preserve">Diterima: 11-08-2026, Disetujui: 25-08-2026, Dipublikasikan: 30-09-2026</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Tindak pidana korupsi tidak lagi dapat digolongkan sebagai kejahatan biasa (ordinary crimes) karena merupakan pelanggaran terhadap hak-hak ekonomi masyarakat sekaligus merugikan keuangan dan perekonomian negara. Karakter tersebut menempatkan korupsi sebagai kejahatan luar biasa (extraordinary crimes) yang pemberantasannya menuntut cara-cara luar biasa pula (extraordinary enforcement) (Djaja, 2010). Konsekuensi kebijakan kriminal tersebut tampak pada pembentukan Komisi Pemberantasan Korupsi melalui Undang-Undang Nomor 30 Tahun 2002, di samping kewenangan kepolisian dan kejaksaan yang telah lebih dahulu ada. Namun penguatan kelembagaan saja tidak memadai apabila tidak disertai penguatan pada sisi pembuktian, khususnya pada sumber informasi yang memungkinkan suatu perkara korupsi terungkap. Perumusan deliknya sendiri tersebar dalam banyak pasal yang dapat dikelompokkan menurut objek, subjek hukum, sumber, dan bentuk perbuatannya (Chazawi, 2017).</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Korupsi dilakukan secara sistemik dan melibatkan lebih dari satu pihak yang terhubung secara langsung maupun tidak langsung dengan orang atau badan tertentu. Relasi tersebut bersifat tertutup sehingga penegak hukum kerap kesulitan mengungkap fakta yang sebenarnya (Mulyadi, 2011). Dalam situasi demikian, keterangan saksi menempati posisi strategis, bahkan ditempatkan sebagai alat bukti pertama dalam Pasal 184 ayat (1) Kitab Undang-Undang Hukum Acara Pidana. Tanpa keterangan saksi yang kooperatif, perkara korupsi berpotensi berhenti pada tahap penyelidikan atau penyidikan karena kekurangan alat bukti.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Persoalannya, kesediaan seseorang untuk melapor dan bersaksi bukanlah sesuatu yang berdiri sendiri, melainkan bergantung pada tingkat keamanan yang dijamin negara. Laporan Tahunan Lembaga Perlindungan Saksi dan Korban tahun 2019 mencatat sekurang-kurangnya 67 permohonan perlindungan saksi pada perkara korupsi sepanjang tahun tersebut (LPSK, 2019). Angka itu memperlihatkan dua hal sekaligus: keterangan saksi pelapor merupakan kunci pengungkapan perkara, dan pada saat yang sama saksi pelapor menghadapi ancaman nyata, baik fisik maupun psikis, termasuk risiko dilaporkan balik dengan tuduhan pencemaran nama baik.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Objek kajian penelitian ini adalah konstruksi normatif perlindungan hukum terhadap saksi pelapor tindak pidana korupsi beserta praktik implementasinya. Masalah hukum yang mengemuka bersifat ganda. Pertama, Undang-Undang Nomor 31 Tahun 1999 juncto Undang-Undang Nomor 20 Tahun 2001 tidak merumuskan ketentuan khusus mengenai saksi pelapor; ketentuan yang dapat ditafsirkan demikian hanya Pasal 31 mengenai larangan menyebut identitas pelapor dan Pasal 41 mengenai peran serta masyarakat. Kedua, Undang-Undang Nomor 13 Tahun 2006 sebagaimana diubah dengan Undang-Undang Nomor 31 Tahun 2014 juga tidak menempatkan saksi pelapor sebagai kategori hukum tersendiri, melainkan menyebut pelapor secara terpisah dari saksi. Akibatnya, perlindungan bagi pihak yang melapor sekaligus bersaksi harus dikonstruksi melalui penemuan hukum, bukan melalui norma yang tegas.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Sejumlah penelitian terdahulu telah menyoroti persoalan ini dari sudut yang berbeda-beda. Sururiyah (2023) menelaah pelaksanaan fungsi Lembaga Perlindungan Saksi dan Korban secara umum dan menemukan keterbatasan daya jangkau kelembagaan. Fadhilla (2024) memusatkan perhatian pada fenomena pelapor yang justru berubah status menjadi tersangka, sementara Koni et al. (2025) memetakan kelemahan perlindungan whistleblower dalam kerangka pemberantasan korupsi di Indonesia. Ketiga kajian tersebut sepakat bahwa jaminan normatif yang tersedia belum sebanding dengan risiko yang dipikul pelapor.</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Meskipun demikian, seluruh kajian tersebut disusun ketika kerangka hukum yang berlaku masih bertumpu pada Undang-Undang Nomor 13 Tahun 2006 juncto Undang-Undang Nomor 31 Tahun 2014. Konfigurasi hukum itu telah berubah secara mendasar sepanjang tahun 2026. Kitab Undang-Undang Hukum Pidana baru (Undang-Undang Nomor 1 Tahun 2023) dan Kitab Undang-Undang Hukum Acara Pidana baru (Undang-Undang Nomor 20 Tahun 2025) berlaku sejak 2 Januari 2026, dan pada 20 Mei 2026 diundangkan Undang-Undang Nomor 3 Tahun 2026 tentang Pelindungan Saksi dan Korban yang mencabut kedua undang-undang perlindungan saksi sebelumnya. Di sinilah kesenjangan kajian ditemukan: pembaruan tersebut belum banyak dianalisis secara spesifik dalam konteks kerentanan saksi pelapor perkara korupsi.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Berbeda dengan penelitian sebelumnya yang berfokus pada evaluasi kelembagaan atau pada kasuistik kriminalisasi pelapor, penelitian ini menempatkan persoalan pada tataran koherensi sistem norma. Analisis dilakukan dengan membaca hasil kajian doktrinal terhadap rezim lama sebagai tolok ukur, kemudian menguji sejauh mana rezim hukum yang berlaku sejak tahun 2026 menjawab kelemahan yang telah teridentifikasi. Dengan cara itu, temuan penelitian tidak berhenti sebagai kritik normatif, melainkan berlanjut menjadi penilaian atas arah pembaruan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Tujuan penelitian ini adalah, pertama, mengetahui dan menganalisis bentuk perlindungan hukum saksi pelapor dalam tindak pidana korupsi; dan kedua, mengetahui dan menganalisis faktor yang menghambat perlindungan hukum saksi pelapor dalam tindak pidana korupsi. Kedua tujuan tersebut diturunkan secara langsung dari permasalahan yang telah diuraikan dan menjadi kerangka penyajian hasil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Secara teoretis, penelitian ini memperkaya kajian hukum pidana dan viktimologi dengan menempatkan saksi pelapor sebagai kategori hukum yang memerlukan perlakuan berbeda dari saksi pada umumnya, dianalisis melalui teori perlindungan hukum dan teori penegakan hukum. Secara praktis, hasil penelitian dapat dimanfaatkan oleh pembentuk peraturan pelaksana Undang-Undang Nomor 3 Tahun 2026, Lembaga Perlindungan Saksi dan Korban, serta aparat penegak hukum dalam merancang mekanisme perlindungan yang operasional bagi pelapor perkara korupsi.</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Bagian ini menguraikan desain penelitian, bahan hukum, teknik pengumpulan, dan teknik analisis yang digunakan sehingga proses penarikan kesimpulan dapat ditelusuri dan diuji ulang secara ilmiah.</w:t>
      </w:r>
    </w:p>
    <w:p w14:paraId="53F3ECD2"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 xml:space="preserve">2.1 Jenis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merupakan penelitian hukum normatif yang disusun dalam format studi kasus hukum atau legal memorandum. Pilihan jenis penelitian ini didasarkan pada karakter permasalahan yang dikaji, yaitu persoalan norma, bukan persoalan perilaku, sehingga jawaban atas rumusan masalah harus dicari pada bahan hukum dan bukan pada pengukuran variabel. Konsekuensinya, penelitian ini tidak menggunakan metode kuantitatif dan tidak mengandalkan pengujian hipotesis.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Tiga pendekatan digunakan secara berkelindan. Pendekatan perundang-undangan (statute approach) dipakai untuk menelaah ketentuan perlindungan saksi dan pelapor pada berbagai instrumen hukum beserta hubungan hierarkisnya. Pendekatan konseptual (conceptual approach) digunakan untuk menajamkan batas pengertian saksi, pelapor, saksi pelapor, dan saksi pelaku yang dalam praktik kerap dipertukarkan. Pendekatan studi kasus hukum digunakan untuk menempatkan norma pada konteks perkara korupsi yang bersifat sistemik dan tertutup, termasuk menelaah Putusan Mahkamah Konstitusi Nomor 65/PUU-VIII/2010 yang memperluas pemaknaan saksi dalam KUHAP.</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 xml:space="preserve">2.2 Jenis dan Sumber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Bahan hukum primer meliputi Undang-Undang Dasar Negara Republik Indonesia Tahun 1945; Undang-Undang Nomor 31 Tahun 1999 juncto Undang-Undang Nomor 20 Tahun 2001 tentang Pemberantasan Tindak Pidana Korupsi; Undang-Undang Nomor 13 Tahun 2006 juncto Undang-Undang Nomor 31 Tahun 2014 tentang Perlindungan Saksi dan Korban; Undang-Undang Nomor 3 Tahun 2026 tentang Pelindungan Saksi dan Korban; Undang-Undang Nomor 1 Tahun 2023 tentang Kitab Undang-Undang Hukum Pidana; Undang-Undang Nomor 20 Tahun 2025 tentang Kitab Undang-Undang Hukum Acara Pidana; Peraturan Pemerintah Nomor 2 Tahun 2002; Peraturan Kepala Kepolisian Negara Republik Indonesia Nomor 17 Tahun 2005; Surat Edaran Mahkamah Agung Nomor 4 Tahun 2011; Peraturan Bersama lima lembaga penegak hukum tahun 2011; serta Putusan Mahkamah Konstitusi Nomor 65/PUU-VIII/2010.</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Bahan hukum sekunder berupa buku, artikel jurnal ilmiah, laporan resmi lembaga negara, dan tulisan ilmiah yang relevan digunakan untuk menjelaskan dan menafsirkan bahan hukum primer. Bahan hukum tersier berupa kamus hukum digunakan secara terbatas untuk menegaskan makna istilah. Data lapangan dalam bentuk keterangan narasumber diperoleh melalui wawancara sebagai data penunjang untuk mengonfirmasi kendala implementasi yang telah diidentifikasi dari bahan hukum.</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 xml:space="preserve">2.3 Teknik Pengumpulan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Bahan hukum dikumpulkan melalui studi kepustakaan dan studi dokumen, yaitu penelusuran sistematis atas peraturan perundang-undangan, putusan pengadilan, dokumen resmi lembaga negara, serta literatur ilmiah yang berkaitan dengan perlindungan saksi pelapor. Penelusuran dilakukan terhadap sumber resmi, antara lain basis data peraturan lembaga negara dan publikasi resmi Lembaga Perlindungan Saksi dan Korban, guna menjamin otentisitas bahan yang digunakan. Keterangan narasumber dikumpulkan melalui wawancara terarah dan diperlakukan sebagai bahan pelengkap, bukan sebagai dasar utama penarikan kesimpulan.</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 xml:space="preserve">2.4 Teknik Analisis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Bahan hukum yang terkumpul disusun, diuraikan, dan dianalisis secara deskriptif-kualitatif. Analisis dilakukan melalui tiga langkah. Pertama, inventarisasi norma untuk memetakan sebaran pengaturan perlindungan saksi pelapor beserta derajat instrumennya. Kedua, interpretasi dan penemuan hukum untuk mengisi kekosongan pengaturan, dengan bertitik tolak pada pandangan bahwa hukum itu ada tetapi masih harus ditemukan (Hiariej, 2009). Ketiga, penilaian kritis atas kesesuaian antara norma dan kenyataan implementasi dengan menggunakan teori perlindungan hukum (Rahardjo, 2000) dan teori penegakan hukum (Soekanto, 2018) sebagai alat uji, sehingga kesimpulan yang ditarik dapat dipertanggungjawabkan secara yuridis.</w:t>
      </w:r>
    </w:p>
    <w:p w14:paraId="03085B09" w14:textId="77777777" w:rsidR="00955050" w:rsidRDefault="00955050" w:rsidP="00955050">
      <w:pPr>
        <w:rPr>
          <w:lang w:val="sv-SE"/>
        </w:rPr>
      </w:pPr>
    </w:p>
    <w:p w14:paraId="12B5585A" w14:textId="6E9841B4" w:rsidR="001E0508" w:rsidRPr="001C62FB" w:rsidRDefault="006F0069" w:rsidP="006F0069">
      <w:pPr>
        <w:pStyle w:val="Heading3"/>
        <w:ind w:left="1134" w:hanging="283"/>
      </w:pPr>
      <w:r w:rsidRPr="001C62FB">
        <w:rPr>
          <w:iCs/>
        </w:rPr>
        <w:t>HASIL DA</w:t>
      </w:r>
      <w:r w:rsidRPr="001C62FB">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Hasil penelitian disajikan secara terpadu dengan pembahasan dan disusun mengikuti urutan rumusan masalah. Subbagian 3.1 menjawab permasalahan pertama mengenai bentuk perlindungan hukum saksi pelapor, subbagian 3.2 menjawab permasalahan kedua mengenai faktor penghambat, sedangkan subbagian 3.3 memuat implikasi hukum dan penilaian atas arah pembaruan norma.</w:t>
      </w:r>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554F5361" w14:textId="5C7D14CE" w:rsidR="001C62FB" w:rsidRPr="00955050" w:rsidRDefault="001C62FB" w:rsidP="00955050">
      <w:pPr>
        <w:pStyle w:val="Heading2"/>
        <w:ind w:right="322"/>
        <w:rPr>
          <w:rStyle w:val="mediumtext"/>
        </w:rPr>
      </w:pPr>
      <w:r w:rsidRPr="00955050">
        <w:rPr>
          <w:rStyle w:val="mediumtext"/>
        </w:rPr>
        <w:t xml:space="preserve">3.1 Bentuk Perlindungan Hukum Saksi Pelapor dalam Tindak Pidana Korupsi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Perlindungan hukum terhadap saksi pelapor tidak berdiri sebagai kebijakan teknis penegakan hukum semata, melainkan berakar pada kewajiban konstitusional negara. Pasal 28G ayat (1) UUD NRI Tahun 1945 menjamin hak setiap orang atas perlindungan diri pribadi, keluarga, kehormatan, martabat, dan harta benda, serta rasa aman dan perlindungan dari ancaman ketakutan untuk berbuat atau tidak berbuat sesuatu. Pasal 28I ayat (4) menegaskan bahwa perlindungan, pemajuan, penegakan, dan pemenuhan hak asasi manusia adalah tanggung jawab negara, terutama pemerintah. Dari kedua ketentuan itu, perlindungan saksi pelapor harus dibaca sebagai kewajiban negara, bukan sebagai kemurahan hati aparat.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Jika dikaitkan dengan teori perlindungan hukum, konstruksi tersebut dapat dipahami sebagai perwujudan fungsi hukum untuk memberikan pengayoman terhadap hak asasi manusia dan menempatkan hukum sebagai instrumen bagi mereka yang lemah kedudukannya secara sosial, ekonomi, maupun politik (Rahardjo, 2000). Perlindungan itu bekerja dalam dua wajah. Wajah preventif tampak pada norma yang mencegah terjadinya ancaman, seperti larangan menyebut identitas pelapor. Wajah represif tampak pada ancaman sanksi terhadap pihak yang merintangi proses peradilan atau membocorkan identitas pelapor. Menurut analisis penulis, kelemahan sistem lama justru terletak pada timpangnya kedua wajah tersebut: norma represif tersedia, tetapi mekanisme preventif yang operasional nyaris tidak dirumuskan.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Pemetaan terhadap instrumen hukum yang berlaku memperlihatkan bahwa perlindungan saksi pelapor tersebar pada norma dengan derajat yang tidak setara, sebagaimana disajikan pada Tabel 1.</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1.</w:t>
      </w:r>
      <w:r>
        <w:rPr>
          <w:rFonts w:eastAsia="Constantia" w:cs="Segoe UI"/>
          <w:b/>
          <w:bCs/>
          <w:sz w:val="20"/>
          <w:szCs w:val="20"/>
          <w:lang w:val="en-US"/>
        </w:rPr>
        <w:t xml:space="preserve"> Sebaran Instrumen Hukum Perlindungan Saksi Pelapor Tindak Pidana Korupsi</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50"/>
        <w:gridCol w:w="1900"/>
        <w:gridCol w:w="1900"/>
        <w:gridCol w:w="1856"/>
      </w:tblGrid>
      <w:tr w:rsidR="006F0069" w:rsidRPr="006F0069" w14:paraId="5B2BAC62" w14:textId="77777777" w:rsidTr="006F0069">
        <w:trPr>
          <w:tblHeader/>
          <w:tblCellSpacing w:w="15" w:type="dxa"/>
          <w:jc w:val="center"/>
        </w:trPr>
        <w:tc>
          <w:tcPr>
            <w:tcW w:w="1750" w:type="dxa"/>
            <w:tcBorders>
              <w:top w:val="single" w:sz="4" w:space="0" w:color="auto"/>
              <w:bottom w:val="single" w:sz="4" w:space="0" w:color="auto"/>
            </w:tcBorders>
            <w:vAlign w:val="center"/>
            <w:hideMark/>
          </w:tcPr>
          <w:p w14:paraId="7E9C2C6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 xml:space="preserve">Instrumen Hukum</w:t>
            </w:r>
          </w:p>
        </w:tc>
        <w:tc>
          <w:tcPr>
            <w:tcW w:w="1900" w:type="dxa"/>
            <w:tcBorders>
              <w:top w:val="single" w:sz="4" w:space="0" w:color="auto"/>
              <w:bottom w:val="single" w:sz="4" w:space="0" w:color="auto"/>
            </w:tcBorders>
            <w:vAlign w:val="center"/>
            <w:hideMark/>
          </w:tcPr>
          <w:p w14:paraId="485F92A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 xml:space="preserve">Substansi Pokok</w:t>
            </w:r>
          </w:p>
        </w:tc>
        <w:tc>
          <w:tcPr>
            <w:tcW w:w="1900" w:type="dxa"/>
            <w:tcBorders>
              <w:top w:val="single" w:sz="4" w:space="0" w:color="auto"/>
              <w:bottom w:val="single" w:sz="4" w:space="0" w:color="auto"/>
            </w:tcBorders>
            <w:vAlign w:val="center"/>
            <w:hideMark/>
          </w:tcPr>
          <w:p w14:paraId="1588FB0A"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 xml:space="preserve">Relevansi bagi Saksi Pelapor</w:t>
            </w:r>
          </w:p>
        </w:tc>
        <w:tc>
          <w:tcPr>
            <w:tcW w:w="1856"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 xml:space="preserve">Keterbatasan</w:t>
            </w:r>
          </w:p>
        </w:tc>
      </w:tr>
      <w:tr w:rsidR="006F0069" w:rsidRPr="006F0069" w14:paraId="38ED94FB" w14:textId="77777777" w:rsidTr="006F0069">
        <w:trPr>
          <w:tblCellSpacing w:w="15" w:type="dxa"/>
          <w:jc w:val="center"/>
        </w:trPr>
        <w:tc>
          <w:tcPr>
            <w:tcW w:w="1750" w:type="dxa"/>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UU No. 31 Tahun 1999 jo. UU No. 20 Tahun 2001</w:t>
            </w:r>
          </w:p>
        </w:tc>
        <w:tc>
          <w:tcPr>
            <w:tcW w:w="1900"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21 dan Pasal 24 (sanksi); Pasal 31 (larangan menyebut identitas pelapor); Pasal 41 (peran serta masyarakat)</w:t>
            </w:r>
          </w:p>
        </w:tc>
        <w:tc>
          <w:tcPr>
            <w:tcW w:w="1900" w:type="dxa"/>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Menjamin kerahasiaan identitas pelapor dan hak memperoleh perlindungan hukum</w:t>
            </w:r>
          </w:p>
        </w:tc>
        <w:tc>
          <w:tcPr>
            <w:tcW w:w="1856" w:type="dxa"/>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merumuskan saksi pelapor secara khusus; tanpa mekanisme pengamanan operasional</w:t>
            </w:r>
          </w:p>
        </w:tc>
      </w:tr>
      <w:tr w:rsidR="006F0069" w:rsidRPr="006F0069" w14:paraId="38ED94FB" w14:textId="77777777" w:rsidTr="006F0069">
        <w:trPr>
          <w:tblCellSpacing w:w="15" w:type="dxa"/>
          <w:jc w:val="center"/>
        </w:trPr>
        <w:tc>
          <w:tcPr>
            <w:tcW w:w="1750" w:type="dxa"/>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UU No. 13 Tahun 2006 jo. UU No. 31 Tahun 2014</w:t>
            </w:r>
          </w:p>
        </w:tc>
        <w:tc>
          <w:tcPr>
            <w:tcW w:w="1900"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5 (hak saksi dan korban); Pasal 8 (saat dimulainya perlindungan); Pasal 10 (imunitas pelapor)</w:t>
            </w:r>
          </w:p>
        </w:tc>
        <w:tc>
          <w:tcPr>
            <w:tcW w:w="1900" w:type="dxa"/>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Pelapor memperoleh imunitas dan dapat diberi hak-hak saksi pada kasus tertentu</w:t>
            </w:r>
          </w:p>
        </w:tc>
        <w:tc>
          <w:tcPr>
            <w:tcW w:w="1856" w:type="dxa"/>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Pelapor bukan subjek utama; pemberian hak bergantung pada penilaian kasus tertentu</w:t>
            </w:r>
          </w:p>
        </w:tc>
      </w:tr>
      <w:tr w:rsidR="006F0069" w:rsidRPr="006F0069" w14:paraId="38ED94FB" w14:textId="77777777" w:rsidTr="006F0069">
        <w:trPr>
          <w:tblCellSpacing w:w="15" w:type="dxa"/>
          <w:jc w:val="center"/>
        </w:trPr>
        <w:tc>
          <w:tcPr>
            <w:tcW w:w="1750" w:type="dxa"/>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UU No. 3 Tahun 2026</w:t>
            </w:r>
          </w:p>
        </w:tc>
        <w:tc>
          <w:tcPr>
            <w:tcW w:w="1900"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Perluasan subjek pelindungan; penguatan LPSK sebagai lembaga negara; perwakilan LPSK di daerah</w:t>
            </w:r>
          </w:p>
        </w:tc>
        <w:tc>
          <w:tcPr>
            <w:tcW w:w="1900" w:type="dxa"/>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Pelapor, informan, saksi pelaku, dan ahli diakui langsung sebagai subjek pelindungan</w:t>
            </w:r>
          </w:p>
        </w:tc>
        <w:tc>
          <w:tcPr>
            <w:tcW w:w="1856" w:type="dxa"/>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Peraturan pelaksana belum lengkap; belum diikuti harmonisasi undang-undang antikorupsi</w:t>
            </w:r>
          </w:p>
        </w:tc>
      </w:tr>
      <w:tr w:rsidR="006F0069" w:rsidRPr="006F0069" w14:paraId="38ED94FB" w14:textId="77777777" w:rsidTr="006F0069">
        <w:trPr>
          <w:tblCellSpacing w:w="15" w:type="dxa"/>
          <w:jc w:val="center"/>
        </w:trPr>
        <w:tc>
          <w:tcPr>
            <w:tcW w:w="1750" w:type="dxa"/>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PP No. 2 Tahun 2002</w:t>
            </w:r>
          </w:p>
        </w:tc>
        <w:tc>
          <w:tcPr>
            <w:tcW w:w="1900"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Tata cara perlindungan korban dan saksi pelanggaran HAM yang berat</w:t>
            </w:r>
          </w:p>
        </w:tc>
        <w:tc>
          <w:tcPr>
            <w:tcW w:w="1900" w:type="dxa"/>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Memuat definisi saksi yang mencakup kebutuhan perlindungan fisik dan mental</w:t>
            </w:r>
          </w:p>
        </w:tc>
        <w:tc>
          <w:tcPr>
            <w:tcW w:w="1856" w:type="dxa"/>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Ruang lingkup terbatas pada perkara pelanggaran HAM yang berat</w:t>
            </w:r>
          </w:p>
        </w:tc>
      </w:tr>
      <w:tr w:rsidR="006F0069" w:rsidRPr="006F0069" w14:paraId="38ED94FB" w14:textId="77777777" w:rsidTr="006F0069">
        <w:trPr>
          <w:tblCellSpacing w:w="15" w:type="dxa"/>
          <w:jc w:val="center"/>
        </w:trPr>
        <w:tc>
          <w:tcPr>
            <w:tcW w:w="1750" w:type="dxa"/>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Peraturan Kapolri No. 17 Tahun 2005</w:t>
            </w:r>
          </w:p>
        </w:tc>
        <w:tc>
          <w:tcPr>
            <w:tcW w:w="1900"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Tata cara perlindungan khusus terhadap pelapor dan saksi</w:t>
            </w:r>
          </w:p>
        </w:tc>
        <w:tc>
          <w:tcPr>
            <w:tcW w:w="1900" w:type="dxa"/>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Keamanan pribadi dan harta, penyamaran identitas, keterangan tanpa konfrontasi</w:t>
            </w:r>
          </w:p>
        </w:tc>
        <w:tc>
          <w:tcPr>
            <w:tcW w:w="1856" w:type="dxa"/>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Berlaku pada lingkungan kepolisian; tidak menjangkau seluruh tahap peradilan</w:t>
            </w:r>
          </w:p>
        </w:tc>
      </w:tr>
      <w:tr w:rsidR="006F0069" w:rsidRPr="006F0069" w14:paraId="38ED94FB" w14:textId="77777777" w:rsidTr="006F0069">
        <w:trPr>
          <w:tblCellSpacing w:w="15" w:type="dxa"/>
          <w:jc w:val="center"/>
        </w:trPr>
        <w:tc>
          <w:tcPr>
            <w:tcW w:w="1750" w:type="dxa"/>
            <w:tcBorders>
              <w:bottom w:val="single" w:sz="4" w:space="0" w:color="auto"/>
            </w:tcBorders>
            <w:vAlign w:val="center"/>
            <w:hideMark/>
          </w:tcPr>
          <w:p w14:paraId="705AFC1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b/>
                <w:bCs/>
                <w:sz w:val="18"/>
                <w:szCs w:val="18"/>
                <w:lang w:val="en-US"/>
              </w:rPr>
              <w:t xml:space="preserve">SEMA No. 4 Tahun 2011 dan Peraturan Bersama Tahun 2011</w:t>
            </w:r>
          </w:p>
        </w:tc>
        <w:tc>
          <w:tcPr>
            <w:tcW w:w="1900" w:type="dxa"/>
            <w:tcBorders>
              <w:bottom w:val="single" w:sz="4" w:space="0" w:color="auto"/>
            </w:tcBorders>
            <w:vAlign w:val="center"/>
            <w:hideMark/>
          </w:tcPr>
          <w:p w14:paraId="6D86F66B"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Perlakuan bagi pelapor tindak pidana dan saksi pelaku yang bekerja sama</w:t>
            </w:r>
          </w:p>
        </w:tc>
        <w:tc>
          <w:tcPr>
            <w:tcW w:w="1900" w:type="dxa"/>
            <w:tcBorders>
              <w:bottom w:val="single" w:sz="4" w:space="0" w:color="auto"/>
            </w:tcBorders>
            <w:vAlign w:val="center"/>
            <w:hideMark/>
          </w:tcPr>
          <w:p w14:paraId="6DA859E2"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Instrumen pertama yang menyebut istilah saksi pelapor secara eksplisit</w:t>
            </w:r>
          </w:p>
        </w:tc>
        <w:tc>
          <w:tcPr>
            <w:tcW w:w="1856" w:type="dxa"/>
            <w:tcBorders>
              <w:bottom w:val="single" w:sz="4" w:space="0" w:color="auto"/>
            </w:tcBorders>
            <w:vAlign w:val="center"/>
            <w:hideMark/>
          </w:tcPr>
          <w:p w14:paraId="6E8D2C68"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Bukan bagian hierarki peraturan perundang-undangan; daya ikat keluar lemah</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dari peraturan perundang-undangan terkait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Tabel 1 memperlihatkan tiga temuan penting. Pertama, undang-undang antikorupsi sesungguhnya telah mengenal figur pelapor, tetapi hanya pada aspek kerahasiaan identitas dan hak partisipasi masyarakat, tanpa mekanisme pengamanan yang dapat dijalankan. Kedua, instrumen yang paling rinci mengatur perlakuan terhadap saksi pelapor justru berada pada derajat terendah, yaitu surat edaran, peraturan kepala lembaga, dan peraturan bersama. Ketiga, undang-undang perlindungan saksi pada rezim lama menempatkan pelapor sebagai penerima hak yang bersifat tambahan dan bergantung pada penilaian kasus tertentu.</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Ketimpangan derajat norma tersebut memiliki konsekuensi yuridis yang nyata. Surat Edaran Mahkamah Agung Nomor 4 Tahun 2011 tentang Perlakuan bagi Pelapor Tindak Pidana dan Saksi Pelaku yang Bekerja Sama tidak termasuk dalam jenis dan hierarki peraturan perundang-undangan sebagaimana diatur dalam Undang-Undang Nomor 12 Tahun 2011. Secara yuridis, surat edaran hanya mengikat ke dalam lingkungan peradilan dan tidak dapat menjadi dasar bagi warga negara untuk menuntut pemenuhan hak. Hal tersebut menunjukkan bahwa perlindungan yang paling dibutuhkan pelapor bertumpu pada instrumen yang paling lemah daya ikatnya.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Kekosongan itu selama ini ditutup melalui penemuan hukum. Ketiadaan klausul yang secara eksplisit menyebut saksi pelapor tidak berarti ketiadaan perlindungan, sebab norma tertulis memang tidak mungkin mengatur segala hal secara tuntas sehingga penafsiran menjadi ranah yang diakui hukum itu sendiri (Hiariej, 2009). Putusan Mahkamah Konstitusi Nomor 65/PUU-VIII/2010 memperkuat arah tersebut dengan memaknai saksi tidak terbatas pada orang yang mendengar, melihat, dan mengalami sendiri suatu tindak pidana. Namun penemuan hukum bersifat kasuistis dan bergantung pada keberanian penafsir; ia bukan pengganti bagi kepastian hukum yang seharusnya disediakan oleh pembentuk undang-undang.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Undang-Undang Nomor 3 Tahun 2026 tentang Pelindungan Saksi dan Korban mengubah lanskap tersebut secara signifikan. Undang-undang yang diundangkan pada 20 Mei 2026 ini mencabut Undang-Undang Nomor 13 Tahun 2006 juncto Undang-Undang Nomor 31 Tahun 2014 dan menempatkan pelapor, informan, saksi pelaku, serta ahli sebagai subjek pelindungan yang diakui secara langsung, bukan sebagai penerima hak turunan. Undang-undang ini juga memperkuat kedudukan Lembaga Perlindungan Saksi dan Korban sebagai lembaga negara, membuka pembentukan perwakilan di daerah, serta mewajibkan koordinasi yang bersifat rahasia antara lembaga tersebut dan aparat penegak hukum. Secara yuridis, pengakuan langsung terhadap pelapor inilah yang menjawab kelemahan struktural rezim sebelumnya, karena hak pelapor tidak lagi harus dikonstruksi melalui penafsiran.</w:t>
      </w:r>
    </w:p>
    <w:p w14:paraId="554F5361" w14:textId="5C7D14CE" w:rsidR="001C62FB" w:rsidRPr="00955050" w:rsidRDefault="001C62FB" w:rsidP="00955050">
      <w:pPr>
        <w:pStyle w:val="Heading2"/>
        <w:ind w:right="322"/>
        <w:rPr>
          <w:rStyle w:val="mediumtext"/>
        </w:rPr>
      </w:pPr>
      <w:r w:rsidRPr="00955050">
        <w:rPr>
          <w:rStyle w:val="mediumtext"/>
        </w:rPr>
        <w:t xml:space="preserve">3.2 Faktor Penghambat Perlindungan Hukum Saksi Pelapor Tindak Pidana Korupsi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Temuan kedua penelitian ini menunjukkan bahwa jaminan normatif tidak berbanding lurus dengan pelaksanaannya. Sekalipun perlindungan saksi telah diatur dalam undang-undang, dalam kenyataannya belum dijalankan secara efektif: saksi pelapor kerap tidak memperoleh perlindungan fisik maupun psikis atas keamanan pribadi, keluarga, dan harta bendanya, tidak terbebas dari ancaman berkenaan dengan kesaksiannya, dan tidak memperoleh nasihat hukum. Jika dianalisis dengan teori penegakan hukum yang menempatkan faktor undang-undang, aparat, sarana, masyarakat, dan kebudayaan sebagai penentu efektivitas (Soekanto, 2018), hambatan yang ditemukan dapat dikelompokkan ke dalam empat kategori berikut. Padahal, saksi dan ahli merupakan alat bukti yang sangat menentukan dalam proses peradilan pidana (Takariawan, 2013).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Pertama, hambatan normatif. Undang-Undang Nomor 13 Tahun 2006 juncto Undang-Undang Nomor 31 Tahun 2014 belum melakukan pengelompokan saksi secara memadai, sehingga saksi pelapor perkara berat seperti korupsi diperlakukan setara dengan saksi pada umumnya. Padahal tingkat risiko yang dipikul keduanya berbeda secara kualitatif. Ketiadaan pembedaan ini menimbulkan ketidakpastian mengenai bentuk dan durasi perlindungan yang berhak diterima pelapor, sekaligus membuka ruang kriminalisasi balik melalui delik pencemaran nama baik, sebagaimana juga dicatat dalam kajian terdahulu (Fadhilla, 2024).</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Kedua, hambatan kelembagaan. Peran Lembaga Perlindungan Saksi dan Korban dalam sistem peradilan pidana terpadu pada rezim lama masih terbatas, daya jangkaunya tidak sebanding dengan ekspektasi masyarakat, dan kewenangannya terkait sumber daya manusia lemah karena keterbatasan undang-undang. Pada sisi eksternal, terdapat perbedaan pemahaman di antara aparat penegak hukum mengenai batas kewenangan lembaga tersebut. Temuan ini sejalan dengan hasil kajian Sururiyah (2023) dan Koni et al. (2025) yang sama-sama menyoroti lemahnya kapasitas kelembagaan sebagai penyebab utama tidak efektifnya perlindungan.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Ketiga, hambatan sarana dan anggaran. Seluruh bentuk perlindungan menuntut pembiayaan, dan tanpa dukungan anggaran yang memadai beban tersebut berpindah kepada saksi yang justru sedang berada dalam posisi rentan. Teori penegakan hukum menegaskan bahwa tanpa sarana atau fasilitas yang memadai, penegak hukum tidak mungkin menyerasikan peranan yang seharusnya dengan peranan yang aktual (Soekanto, 2018). Dalam konteks perlindungan saksi, sarana tersebut mencakup rumah aman, pendampingan, penggantian biaya transportasi, hingga bantuan biaya hidup sementara.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Keempat, hambatan pada masyarakat dan budaya hukum. Pemahaman masyarakat mengenai kedudukan dan hak saksi masih rendah, sosialisasi undang-undang perlindungan saksi belum menjangkau publik luas, dan informasi dari aparat kepada saksi mengenai hak-haknya masih minim. Akibatnya muncul keengganan melapor yang bersumber dari ketakutan dijadikan tersangka atau dikriminalisasi oleh pihak yang dilaporkan. Temuan tersebut memperlihatkan bahwa hambatan terbesar tidak selalu terletak pada teks undang-undang, melainkan pada budaya hukum yang belum menempatkan pelapor sebagai warga negara yang menjalankan kewajiban hukum.</w:t>
      </w:r>
    </w:p>
    <w:p w14:paraId="554F5361" w14:textId="5C7D14CE" w:rsidR="001C62FB" w:rsidRPr="00955050" w:rsidRDefault="001C62FB" w:rsidP="00955050">
      <w:pPr>
        <w:pStyle w:val="Heading2"/>
        <w:ind w:right="322"/>
        <w:rPr>
          <w:rStyle w:val="mediumtext"/>
        </w:rPr>
      </w:pPr>
      <w:r w:rsidRPr="00955050">
        <w:rPr>
          <w:rStyle w:val="mediumtext"/>
        </w:rPr>
        <w:t xml:space="preserve">3.3 Implikasi Hukum dan Arah Pembaruan Norma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konstruksi hukum di atas, implikasi pertama yang dapat ditarik adalah bahwa persoalan perlindungan saksi pelapor korupsi merupakan persoalan koherensi sistem, bukan sekadar kekurangan pasal. Sebaran norma pada instrumen yang berbeda derajat menciptakan situasi ketidakserasian antara nilai, kaidah, dan pola perilaku yang oleh teori penegakan hukum diidentifikasi sebagai sumber utama hambatan penegakan hukum (Soekanto, 2018). Selama pengaturan paling rinci berada pada instrumen yang paling lemah, kepastian hukum bagi pelapor akan tetap rapuh.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Implikasi kedua berkaitan dengan arah pembaruan yang telah ditempuh pembentuk undang-undang. Undang-Undang Nomor 3 Tahun 2026 menjawab sebagian besar kelemahan yang teridentifikasi dalam penelitian ini, yakni melalui pengakuan langsung terhadap pelapor sebagai subjek pelindungan, perluasan dasar pemberian pelindungan yang tidak lagi semata bertumpu pada adanya ancaman, penguatan status kelembagaan, serta pembukaan perwakilan lembaga di daerah. Dari perspektif teori perlindungan hukum, pembaruan tersebut menggeser titik berat dari perlindungan represif menuju perlindungan preventif yang terlembagakan.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Meskipun demikian, penilaian tersebut perlu diletakkan secara proporsional. Pembaruan itu belum menyentuh sumber ketidakserasian yang lain, yaitu undang-undang antikorupsi yang hingga kini belum mengatur saksi pelapor secara khusus dan masih membiarkan Pasal 31 sebagai satu-satunya sandaran normatif mengenai kerahasiaan identitas pelapor. Efektivitas undang-undang baru juga bergantung pada peraturan pelaksana yang belum seluruhnya terbentuk serta pada kesiapan anggaran dan sumber daya manusia. Dengan kata lain, perubahan substansi hukum belum otomatis diikuti perubahan struktur dan budaya hukum, padahal ketiganya harus bekerja bersama agar penegakan hukum berjalan efektif.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Implikasi ketiga bersifat prosedural. Berlakunya Undang-Undang Nomor 20 Tahun 2025 tentang Kitab Undang-Undang Hukum Acara Pidana sejak 2 Januari 2026 menempatkan perlindungan saksi dan korban sebagai bagian dari pembaruan hukum acara, termasuk mekanisme perlindungan identitas saksi dalam proses pemeriksaan (Waruwu, 2026). Bagi saksi pelapor korupsi, ketentuan tersebut penting karena titik kerentanan terbesar justru terletak pada momen identitasnya terbuka di persidangan. Harmonisasi antara hukum acara yang baru, undang-undang pelindungan saksi, dan undang-undang antikorupsi karenanya menjadi agenda yang tidak dapat ditunda.</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Pr="00EA7E75" w:rsidRDefault="00985560" w:rsidP="00985560">
      <w:pPr>
        <w:pStyle w:val="Heading3"/>
        <w:ind w:left="993" w:hanging="426"/>
      </w:pPr>
      <w:r w:rsidRPr="00EA7E75">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Bentuk perlindungan hukum terhadap saksi pelapor tindak pidana korupsi pada dasarnya merupakan bagian dari perlindungan hak asasi manusia yang menjadi kewajiban negara, dengan berlandaskan pada penghargaan atas harkat dan martabat manusia, rasa aman, keadilan, dan sifat tidak diskriminatif demi memperoleh kepastian hukum. Perlindungan tersebut terwujud dalam bentuk preventif berupa kerahasiaan identitas pelapor sebagaimana Pasal 31 Undang-Undang Nomor 31 Tahun 1999 juncto Undang-Undang Nomor 20 Tahun 2001, hak partisipasi dan perlindungan hukum berdasarkan Pasal 41 undang-undang yang sama, serta hak-hak saksi dan imunitas hukum bagi pelapor pada undang-undang perlindungan saksi dan korban; dan dalam bentuk represif berupa ancaman pidana terhadap pihak yang merintangi proses peradilan atau membuka identitas pelapor. Persoalannya, sebaran norma tersebut tidak setara derajatnya dan norma yang paling rinci justru berada pada instrumen yang bukan bagian dari hierarki peraturan perundang-undangan, sehingga perlindungan bagi saksi pelapor selama ini bertumpu pada penemuan hukum. Undang-Undang Nomor 3 Tahun 2026 tentang Pelindungan Saksi dan Korban memperbaiki kondisi ini dengan mengakui pelapor sebagai subjek pelindungan secara langsung dan memperkuat kedudukan Lembaga Perlindungan Saksi dan Korban sebagai lembaga negara.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Faktor yang menghambat perlindungan hukum saksi pelapor bersifat berlapis, meliputi hambatan normatif berupa tidak adanya pengelompokan saksi pelapor perkara berat sehingga jaminan perlindungannya tidak pasti; hambatan kelembagaan berupa terbatasnya peran, daya jangkau, dan kewenangan Lembaga Perlindungan Saksi dan Korban serta perbedaan pemahaman antaraparat penegak hukum; hambatan sarana dan anggaran yang membuat beban perlindungan berpindah kepada saksi; serta hambatan masyarakat dan budaya hukum berupa rendahnya pemahaman publik, minimnya sosialisasi, dan ketakutan dikriminalisasi balik. Keempat faktor tersebut menegaskan bahwa kelemahan perlindungan saksi pelapor tidak semata terletak pada teks undang-undang, melainkan pada ketidakserasian antara substansi, struktur, dan budaya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temuan tersebut, direkomendasikan agar pembentuk undang-undang melakukan harmonisasi dengan merumuskan ketentuan khusus mengenai saksi pelapor di dalam revisi undang-undang pemberantasan tindak pidana korupsi, sehingga jaminan yang telah diberikan Undang-Undang Nomor 3 Tahun 2026 memiliki padanan pada rezim hukum antikorupsi. Pemerintah perlu segera menuntaskan peraturan pelaksana undang-undang tersebut, terutama yang mengatur tata cara pemberian pelindungan, pembiayaan, dan pembentukan perwakilan Lembaga Perlindungan Saksi dan Korban di daerah agar akses pelapor di luar Jakarta tidak terhambat jarak. Aparat penegak hukum perlu menyelenggarakan sosialisasi secara berkala dan menyampaikan informasi hak-hak saksi sejak tahap penyelidikan. Bagi penelitian selanjutnya, disarankan dilakukan kajian empiris atas efektivitas penerapan Undang-Undang Nomor 3 Tahun 2026 terhadap pelapor perkara korupsi setelah peraturan pelaksananya terbentuk.</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Chazawi, A. (2017). Hukum pidana korupsi di Indonesia (Edisi revisi). Rajawali Pers.</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Djaja, E. (2010). Meredesain pengadilan tindak pidana korupsi: Implikasi Putusan Mahkamah Konstitusi Nomor 019/PUU-IV/2006. Sinar Grafika.</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Fadhilla, S. R. (2024). Urgensi perlindungan whistleblower terhadap fenomena pelapor menjadi tersangka dalam tindak pidana korupsi. Rechtsnormen: Jurnal Komunikasi dan Informasi Hukum, 3(1), 1-6.</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Hiariej, E. O. S. (2009). Asas legalitas dan penemuan hukum dalam hukum pidana. Erlangga.</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Koni, Y. K., Rahman, S., Pawennei, M., Djanggih, H., &amp; Bunga, M. (2025). Legal protection for whistleblowers in the eradication of corruption crimes in Indonesia. LEX, 23(11), 1922-1929. https://doi.org/10.52152/8460qj76</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Lembaga Perlindungan Saksi dan Korban. (2019). Laporan tahunan LPSK 2019: LPSK dalam refleksi tahun 2019 dan proyeksi tahun 2020. LPSK.</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Mahkamah Agung Republik Indonesia. (2011). Surat Edaran Mahkamah Agung Nomor 4 Tahun 2011 tentang Perlakuan bagi Pelapor Tindak Pidana (Whistleblower) dan Saksi Pelaku yang Bekerjasama (Justice Collaborator) di dalam Perkara Tindak Pidana Tertentu.</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Mahkamah Konstitusi Republik Indonesia. (2011). Putusan Nomor 65/PUU-VIII/2010.</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Mulyadi, L. (2011). Tindak pidana korupsi di Indonesia: Normatif, teoretis, praktik, dan masalahnya. PT Alumni.</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Bersama Menteri Hukum dan HAM, Jaksa Agung, Kepala Kepolisian Negara RI, Ketua KPK, dan Ketua LPSK Nomor M.HH-11.HM.03.02.th.2011, PER-045/A/JA/12/2011, Nomor 1 Tahun 2011, KEPB-02/01-55/12/2011, Nomor 4 Tahun 2011 tentang Perlindungan bagi Pelapor, Saksi Pelapor, dan Saksi Pelaku yang Bekerjasama. (2011).</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Kepala Kepolisian Negara Republik Indonesia Nomor 17 Tahun 2005 tentang Tata Cara Perlindungan Khusus terhadap Pelapor dan Saksi Tindak Pidana Pelanggaran Hak Asasi Manusia yang Berat. (2005).</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Pemerintah Nomor 2 Tahun 2002 tentang Tata Cara Perlindungan terhadap Korban dan Saksi dalam Pelanggaran Hak Asasi Manusia yang Berat. (2002).</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Rahardjo, S. (2000). Ilmu hukum. Citra Aditya Bakti.</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Soekanto, S. (2018). Faktor-faktor yang mempengaruhi penegakan hukum. RajaGrafindo Persada.</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Sururiyah, L. (2023). Perlindungan hukum terhadap saksi dan korban oleh Lembaga Perlindungan Saksi dan Korban (LPSK). Iuris Studia: Jurnal Kajian Hukum, 4(3), 173-180. https://doi.org/10.55357/is.v4i3.425</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Takariawan, A. (2013). Perlindungan saksi dan korban. Pustaka Reka Cipta.</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30 Tahun 2002 tentang Komisi Pemberantasan Tindak Pidana Korupsi. (2002).</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31 Tahun 1999 tentang Pemberantasan Tindak Pidana Korupsi sebagaimana telah diubah dengan Undang-Undang Nomor 20 Tahun 2001. (1999).</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13 Tahun 2006 tentang Perlindungan Saksi dan Korban sebagaimana telah diubah dengan Undang-Undang Nomor 31 Tahun 2014. (2006).</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12 Tahun 2011 tentang Pembentukan Peraturan Perundang-undangan. (2011).</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 Tahun 2023 tentang Kitab Undang-Undang Hukum Pidana. (2023).</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20 Tahun 2025 tentang Kitab Undang-Undang Hukum Acara Pidana. (2025).</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3 Tahun 2026 tentang Pelindungan Saksi dan Korban. (2026).</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Waruwu, R. P. R. (2026, Februari 16). Mekanisme perlindungan identitas saksi dalam KUHAP baru. Marinews Mahkamah Agung. https://marinews.mahkamahagung.go.id/artikel/mekanisme-perlindungan-identitas-saksi-dalam-kuhap-baru-0To</w:t>
      </w:r>
    </w:p>
    <w:p w14:paraId="4317537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Jecky Gerald Loupatty</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cky@ukipaulus.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