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7C5E7" w14:textId="2A705733"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Pr>
          <w:rFonts w:cs="Segoe UI"/>
          <w:i/>
          <w:noProof/>
          <w:sz w:val="16"/>
          <w:szCs w:val="16"/>
          <w:lang w:val="en-IN" w:eastAsia="en-IN"/>
        </w:rPr>
        <w:t xml:space="preserve">                                       </w:t>
      </w:r>
      <w:hyperlink r:id="rId10" w:history="1">
        <w:r>
          <w:rPr>
            <w:rStyle w:val="Hyperlink"/>
            <w:rFonts w:cs="Segoe UI"/>
            <w:i/>
            <w:noProof/>
            <w:sz w:val="16"/>
            <w:szCs w:val="16"/>
            <w:lang w:val="en-IN" w:eastAsia="en-IN"/>
          </w:rPr>
          <w:t>https://ojs.ukipaulus.ac.id/index.php/psnp</w:t>
        </w:r>
      </w:hyperlink>
      <w:r>
        <w:rPr>
          <w:rFonts w:cs="Segoe UI"/>
          <w:i/>
          <w:noProof/>
          <w:sz w:val="16"/>
          <w:szCs w:val="16"/>
          <w:lang w:val="en-IN" w:eastAsia="en-IN"/>
        </w:rPr>
        <w:t xml:space="preserve"> </w:t>
      </w:r>
      <w:r>
        <w:t xml:space="preserve">  </w:t>
      </w:r>
    </w:p>
    <w:p w14:paraId="76CB2357"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747235D0" w14:textId="1EC4966A"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Humanesia Pascasarjana</w:t>
      </w:r>
    </w:p>
    <w:p w14:paraId="5199D495" w14:textId="2F27610F" w:rsidR="00AD7C4B" w:rsidRDefault="003A4408" w:rsidP="003A4408">
      <w:pPr>
        <w:spacing w:after="0" w:line="240" w:lineRule="auto"/>
        <w:jc w:val="center"/>
        <w:rPr>
          <w:rFonts w:cs="Segoe UI"/>
          <w:b/>
          <w:sz w:val="16"/>
          <w:szCs w:val="16"/>
        </w:rPr>
      </w:pPr>
      <w:r>
        <w:rPr>
          <w:rFonts w:cs="Segoe UI"/>
          <w:b/>
          <w:sz w:val="16"/>
          <w:szCs w:val="16"/>
        </w:rPr>
        <w:t xml:space="preserve">(Humaniora, Ekonomi, Bisnis, Manajemen, Hukum dan Sosiologi)</w:t>
      </w:r>
    </w:p>
    <w:p w14:paraId="3F128BA9" w14:textId="0ED6C639" w:rsidR="0010607A" w:rsidRDefault="00886EB8" w:rsidP="00E109A4">
      <w:pPr>
        <w:spacing w:after="0" w:line="240" w:lineRule="auto"/>
        <w:jc w:val="center"/>
        <w:rPr>
          <w:rFonts w:cs="Segoe UI"/>
          <w:b/>
        </w:rPr>
      </w:pPr>
      <w:r>
        <w:rPr>
          <w:rFonts w:cs="Segoe UI"/>
          <w:b/>
        </w:rPr>
        <w:t>Universitas Kristen Indonesia Paulus</w:t>
      </w:r>
    </w:p>
    <w:p w14:paraId="42211695" w14:textId="133865A4" w:rsidR="007677D4" w:rsidRPr="0010607A" w:rsidRDefault="00E109A4" w:rsidP="00E109A4">
      <w:pPr>
        <w:spacing w:after="0" w:line="240" w:lineRule="auto"/>
        <w:jc w:val="left"/>
        <w:rPr>
          <w:rFonts w:cs="Segoe UI"/>
          <w:b/>
          <w:sz w:val="20"/>
          <w:szCs w:val="20"/>
        </w:rPr>
      </w:pPr>
      <w:r>
        <w:rPr>
          <w:rFonts w:cs="Segoe UI"/>
          <w:b/>
          <w:sz w:val="20"/>
          <w:szCs w:val="20"/>
        </w:rPr>
        <w:t xml:space="preserve">                                                                 Makassar, Indonesia</w:t>
      </w:r>
    </w:p>
    <w:p w14:paraId="4A29B526" w14:textId="0137736E" w:rsidR="001E0508" w:rsidRPr="00C676AF" w:rsidRDefault="00E109A4" w:rsidP="007677D4">
      <w:pPr>
        <w:spacing w:after="0" w:line="240" w:lineRule="auto"/>
        <w:jc w:val="left"/>
        <w:rPr>
          <w:rFonts w:cs="Segoe UI"/>
          <w:b/>
          <w:sz w:val="20"/>
          <w:szCs w:val="20"/>
        </w:rPr>
      </w:pPr>
      <w:r>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157D411B" w14:textId="4E006BE1" w:rsidR="00AD7C4B" w:rsidRPr="00C676AF" w:rsidRDefault="00AD7C4B" w:rsidP="00676A1B">
      <w:pPr>
        <w:tabs>
          <w:tab w:val="right" w:pos="9026"/>
        </w:tabs>
        <w:spacing w:after="0" w:line="240" w:lineRule="auto"/>
        <w:rPr>
          <w:rFonts w:cs="Segoe UI"/>
          <w:b/>
          <w:sz w:val="20"/>
          <w:szCs w:val="20"/>
        </w:rPr>
      </w:pPr>
      <w:r>
        <w:rPr>
          <w:rFonts w:cs="Segoe UI"/>
          <w:b/>
          <w:sz w:val="20"/>
          <w:szCs w:val="20"/>
        </w:rPr>
        <w:tab/>
      </w:r>
    </w:p>
    <w:p w14:paraId="01376EA5" w14:textId="3A933C7B" w:rsidR="00676A1B" w:rsidRPr="003A4408" w:rsidRDefault="006F20C0" w:rsidP="00100027">
      <w:pPr>
        <w:tabs>
          <w:tab w:val="right" w:pos="9026"/>
        </w:tabs>
        <w:spacing w:after="0" w:line="240" w:lineRule="auto"/>
        <w:jc w:val="center"/>
        <w:rPr>
          <w:rFonts w:cs="Segoe UI"/>
          <w:b/>
          <w:sz w:val="30"/>
          <w:szCs w:val="30"/>
          <w:lang w:val="en-US"/>
        </w:rPr>
      </w:pPr>
      <w:r>
        <w:rPr>
          <w:rFonts w:cs="Segoe UI"/>
          <w:b/>
          <w:bCs/>
          <w:sz w:val="30"/>
          <w:szCs w:val="30"/>
          <w:lang w:val="id"/>
        </w:rPr>
        <w:t xml:space="preserve">Pasal 36 Undang-Undang ITE sebagai Norma Pemberatan dalam Penanganan Tindak Pidana Penipuan Daring</w:t>
      </w:r>
    </w:p>
    <w:p w14:paraId="3A1EF515" w14:textId="6350003F" w:rsidR="00100027" w:rsidRPr="00100027" w:rsidRDefault="00100027" w:rsidP="007677D4">
      <w:pPr>
        <w:tabs>
          <w:tab w:val="right" w:pos="9026"/>
        </w:tabs>
        <w:spacing w:after="0" w:line="240" w:lineRule="auto"/>
        <w:jc w:val="left"/>
        <w:rPr>
          <w:rFonts w:cs="Segoe UI"/>
          <w:i/>
          <w:sz w:val="24"/>
          <w:szCs w:val="20"/>
          <w:lang w:val="en-US"/>
        </w:rPr>
      </w:pPr>
    </w:p>
    <w:p w14:paraId="469C6E82" w14:textId="183D7E7F" w:rsidR="00361A98" w:rsidRPr="00C676AF" w:rsidRDefault="00361A98" w:rsidP="00676A1B">
      <w:pPr>
        <w:tabs>
          <w:tab w:val="right" w:pos="9026"/>
        </w:tabs>
        <w:spacing w:after="0" w:line="240" w:lineRule="auto"/>
        <w:rPr>
          <w:rFonts w:cs="Segoe UI"/>
          <w:sz w:val="20"/>
          <w:szCs w:val="20"/>
        </w:rPr>
      </w:pPr>
    </w:p>
    <w:p w14:paraId="7A483E67" w14:textId="5C7B2371" w:rsidR="00AC334E" w:rsidRPr="00886EB8" w:rsidRDefault="001E0508" w:rsidP="00C00D09">
      <w:pPr>
        <w:tabs>
          <w:tab w:val="right" w:pos="9026"/>
        </w:tabs>
        <w:spacing w:after="0" w:line="240" w:lineRule="auto"/>
        <w:rPr>
          <w:rFonts w:cs="Segoe UI"/>
          <w:b/>
          <w:bCs/>
          <w:sz w:val="24"/>
          <w:szCs w:val="24"/>
          <w:lang w:val="fi-FI"/>
        </w:rPr>
      </w:pPr>
      <w:r>
        <w:rPr>
          <w:rFonts w:cs="Segoe UI"/>
          <w:b/>
          <w:bCs/>
          <w:sz w:val="24"/>
          <w:szCs w:val="24"/>
          <w:lang w:val="fi-FI"/>
        </w:rPr>
        <w:t xml:space="preserve">Irvandi Demma Tande</w:t>
      </w:r>
      <w:r>
        <w:rPr>
          <w:rFonts w:cs="Segoe UI"/>
          <w:b/>
          <w:bCs/>
          <w:sz w:val="24"/>
          <w:szCs w:val="24"/>
          <w:lang w:val="fi-FI"/>
          <w:vertAlign w:val="superscript"/>
        </w:rPr>
        <w:t>1</w:t>
      </w:r>
      <w:r>
        <w:rPr>
          <w:rFonts w:cs="Segoe UI"/>
          <w:b/>
          <w:bCs/>
          <w:sz w:val="24"/>
          <w:szCs w:val="24"/>
          <w:lang w:val="fi-FI"/>
        </w:rPr>
        <w:t>*</w:t>
      </w:r>
    </w:p>
    <w:p w14:paraId="408EDE2B" w14:textId="640F5D4D" w:rsidR="00AC334E" w:rsidRDefault="001E0508" w:rsidP="00241D17">
      <w:pPr>
        <w:tabs>
          <w:tab w:val="right" w:pos="9026"/>
        </w:tabs>
        <w:spacing w:after="0" w:line="240" w:lineRule="auto"/>
        <w:rPr>
          <w:rFonts w:cs="Segoe UI"/>
          <w:sz w:val="20"/>
          <w:szCs w:val="20"/>
          <w:lang w:val="fi-FI"/>
        </w:rPr>
      </w:pPr>
      <w:r>
        <w:rPr>
          <w:rFonts w:cs="Segoe UI"/>
          <w:sz w:val="20"/>
          <w:szCs w:val="20"/>
          <w:vertAlign w:val="superscript"/>
          <w:lang w:val="fi-FI"/>
        </w:rPr>
        <w:t>1</w:t>
      </w:r>
      <w:r>
        <w:rPr>
          <w:rFonts w:cs="Segoe UI"/>
          <w:sz w:val="20"/>
          <w:szCs w:val="20"/>
          <w:lang w:val="fi-FI"/>
        </w:rPr>
        <w:t xml:space="preserve"> Program Studi Magister Ilmu Hukum, Program Pascasarjana, Universitas Kristen Indonesia Paulus, Makassar, Indonesia</w:t>
      </w:r>
    </w:p>
    <w:p w14:paraId="03280406" w14:textId="36D2D9A5" w:rsidR="00BE12F5" w:rsidRPr="007677D4" w:rsidRDefault="006F20C0" w:rsidP="00241D17">
      <w:pPr>
        <w:tabs>
          <w:tab w:val="right" w:pos="9026"/>
        </w:tabs>
        <w:spacing w:after="0" w:line="240" w:lineRule="auto"/>
        <w:rPr>
          <w:rFonts w:cs="Segoe UI"/>
          <w:i/>
          <w:sz w:val="18"/>
          <w:szCs w:val="18"/>
          <w:lang w:val="en-US"/>
        </w:rPr>
      </w:pPr>
      <w:r>
        <w:rPr>
          <w:rFonts w:cs="Segoe UI"/>
          <w:i/>
          <w:sz w:val="18"/>
          <w:szCs w:val="18"/>
          <w:lang w:val="en-US"/>
        </w:rPr>
        <w:t xml:space="preserve">irvandi@ukipaulus.ac.id (Korespondensi)*</w:t>
      </w:r>
    </w:p>
    <w:p w14:paraId="2A959B97" w14:textId="77777777" w:rsidR="006F20C0" w:rsidRPr="00C676AF"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0562E13F" w14:textId="77777777" w:rsidTr="00550BFE">
        <w:trPr>
          <w:trHeight w:val="189"/>
        </w:trPr>
        <w:tc>
          <w:tcPr>
            <w:tcW w:w="1171" w:type="pct"/>
            <w:tcBorders>
              <w:top w:val="single" w:sz="4" w:space="0" w:color="auto"/>
              <w:bottom w:val="single" w:sz="4" w:space="0" w:color="auto"/>
            </w:tcBorders>
          </w:tcPr>
          <w:p w14:paraId="312F1C6B" w14:textId="05A6C11E"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7761FE3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57D7D53D" w14:textId="77777777" w:rsidTr="00550BFE">
        <w:trPr>
          <w:trHeight w:val="1678"/>
        </w:trPr>
        <w:tc>
          <w:tcPr>
            <w:tcW w:w="1171" w:type="pct"/>
            <w:tcBorders>
              <w:top w:val="single" w:sz="4" w:space="0" w:color="auto"/>
              <w:bottom w:val="single" w:sz="4" w:space="0" w:color="auto"/>
            </w:tcBorders>
          </w:tcPr>
          <w:p w14:paraId="3D67F033" w14:textId="77777777" w:rsidR="00241D17" w:rsidRPr="00C676AF" w:rsidRDefault="00241D17" w:rsidP="00417363">
            <w:pPr>
              <w:spacing w:after="0" w:line="240" w:lineRule="auto"/>
              <w:rPr>
                <w:rFonts w:eastAsia="Times New Roman" w:cs="Segoe UI"/>
                <w:b/>
                <w:i/>
                <w:iCs/>
                <w:color w:val="181717"/>
                <w:sz w:val="20"/>
                <w:szCs w:val="20"/>
              </w:rPr>
            </w:pPr>
            <w:r>
              <w:rPr>
                <w:rFonts w:eastAsia="Times New Roman" w:cs="Segoe UI"/>
                <w:b/>
                <w:i/>
                <w:iCs/>
                <w:color w:val="181717"/>
                <w:sz w:val="20"/>
                <w:szCs w:val="20"/>
              </w:rPr>
              <w:t>Keyword:</w:t>
            </w:r>
          </w:p>
          <w:p w14:paraId="3BBA5661" w14:textId="6B1A32C2" w:rsidR="00417363" w:rsidRDefault="001E0508" w:rsidP="00886EB8">
            <w:pPr>
              <w:spacing w:after="0" w:line="240" w:lineRule="auto"/>
              <w:jc w:val="left"/>
              <w:rPr>
                <w:rFonts w:eastAsia="Times New Roman" w:cs="Segoe UI"/>
                <w:i/>
                <w:iCs/>
                <w:color w:val="181717"/>
                <w:sz w:val="20"/>
                <w:szCs w:val="20"/>
                <w:lang w:val="en-US"/>
              </w:rPr>
            </w:pPr>
            <w:r>
              <w:rPr>
                <w:rFonts w:eastAsia="Times New Roman" w:cs="Segoe UI"/>
                <w:i/>
                <w:iCs/>
                <w:color w:val="181717"/>
                <w:sz w:val="20"/>
                <w:szCs w:val="20"/>
                <w:lang w:val="en-US"/>
              </w:rPr>
              <w:t xml:space="preserve">Article 36 electronic information law, aggravating norm, online fraud, standalone offence, penal codification, alternative indictment</w:t>
            </w:r>
          </w:p>
          <w:p w14:paraId="440C95CD" w14:textId="77777777" w:rsidR="001E0508" w:rsidRPr="00332E82" w:rsidRDefault="001E0508" w:rsidP="00417363">
            <w:pPr>
              <w:spacing w:after="0" w:line="240" w:lineRule="auto"/>
              <w:rPr>
                <w:rFonts w:eastAsia="Times New Roman" w:cs="Segoe UI"/>
                <w:b/>
                <w:iCs/>
                <w:color w:val="181717"/>
                <w:sz w:val="20"/>
                <w:szCs w:val="20"/>
                <w:lang w:val="en-US"/>
              </w:rPr>
            </w:pPr>
          </w:p>
          <w:p w14:paraId="495B6352" w14:textId="77777777" w:rsidR="00241D17" w:rsidRPr="00C676AF" w:rsidRDefault="00241D17" w:rsidP="00417363">
            <w:pPr>
              <w:spacing w:after="0" w:line="240" w:lineRule="auto"/>
              <w:rPr>
                <w:rFonts w:eastAsia="Times New Roman" w:cs="Segoe UI"/>
                <w:b/>
                <w:iCs/>
                <w:color w:val="181717"/>
                <w:sz w:val="20"/>
                <w:szCs w:val="20"/>
              </w:rPr>
            </w:pPr>
            <w:r>
              <w:rPr>
                <w:rFonts w:eastAsia="Times New Roman" w:cs="Segoe UI"/>
                <w:b/>
                <w:iCs/>
                <w:color w:val="181717"/>
                <w:sz w:val="20"/>
                <w:szCs w:val="20"/>
              </w:rPr>
              <w:t>Kata Kunci:</w:t>
            </w:r>
          </w:p>
          <w:p w14:paraId="33F6629F" w14:textId="300E20A2" w:rsidR="00241D17" w:rsidRPr="00C676AF" w:rsidRDefault="001E0508" w:rsidP="00886EB8">
            <w:pPr>
              <w:spacing w:after="0" w:line="240" w:lineRule="auto"/>
              <w:jc w:val="left"/>
              <w:rPr>
                <w:rFonts w:eastAsia="Times New Roman" w:cs="Segoe UI"/>
                <w:i/>
                <w:color w:val="181717"/>
                <w:sz w:val="20"/>
                <w:szCs w:val="20"/>
              </w:rPr>
            </w:pPr>
            <w:r>
              <w:rPr>
                <w:rFonts w:eastAsia="Times New Roman" w:cs="Segoe UI"/>
                <w:iCs/>
                <w:color w:val="181717"/>
                <w:sz w:val="20"/>
                <w:szCs w:val="20"/>
                <w:lang w:val="fi-FI"/>
              </w:rPr>
              <w:t xml:space="preserve">Pasal 36 undang-undang ITE, norma pemberatan, penipuan daring, delik mandiri, kodifikasi pidana, dakwaan alternatif</w:t>
            </w:r>
          </w:p>
        </w:tc>
        <w:tc>
          <w:tcPr>
            <w:tcW w:w="3829" w:type="pct"/>
            <w:tcBorders>
              <w:top w:val="single" w:sz="4" w:space="0" w:color="auto"/>
              <w:bottom w:val="single" w:sz="4" w:space="0" w:color="auto"/>
            </w:tcBorders>
          </w:tcPr>
          <w:p w14:paraId="55BC0D0E" w14:textId="48443D05" w:rsidR="00147D80" w:rsidRDefault="00241D17" w:rsidP="001E0508">
            <w:pPr>
              <w:spacing w:after="0" w:line="240" w:lineRule="auto"/>
              <w:rPr>
                <w:rStyle w:val="Strong"/>
                <w:rFonts w:cs="Segoe UI"/>
                <w:b w:val="0"/>
                <w:bCs w:val="0"/>
                <w:i/>
                <w:iCs/>
                <w:color w:val="000000"/>
                <w:sz w:val="20"/>
                <w:szCs w:val="20"/>
                <w:shd w:val="clear" w:color="auto" w:fill="FFFFFF"/>
              </w:rPr>
            </w:pPr>
            <w:r>
              <w:rPr>
                <w:rFonts w:eastAsia="Times New Roman" w:cs="Segoe UI"/>
                <w:b/>
                <w:i/>
                <w:iCs/>
                <w:sz w:val="20"/>
                <w:szCs w:val="20"/>
              </w:rPr>
              <w:t>Abstract:</w:t>
            </w:r>
            <w:r>
              <w:rPr>
                <w:rFonts w:cs="Segoe UI"/>
                <w:i/>
                <w:iCs/>
                <w:color w:val="000000"/>
                <w:sz w:val="20"/>
                <w:szCs w:val="20"/>
                <w:shd w:val="clear" w:color="auto" w:fill="FFFFFF"/>
              </w:rPr>
              <w:t xml:space="preserve"> The electronic information law contains no explicit offence of fraud, so prosecutors often reach for Article 36, a provision widely treated in practice as though it were a self-standing offence. This study examines the normative position of Article 36 and its application, using Makassar District Court Decision Number 47/Pid.Sus/2024/PN Mks as illustration. The research is normative legal research employing statutory, case, and conceptual approaches, analysed descriptively and qualitatively. The findings show that Article 36 is not a standalone offence but an aggravating norm: its text expressly requires conduct falling under Articles 27 to 34, it has no numbered paragraphs, and its sanction in Article 51 paragraph (2) doubles the maximum imprisonment of the offence it aggravates. The study argues that treating it as standalone leaves the linking element untested, which weakens the indictment and the reasoning alike. Since January 2026 Article 36 has ceased to operate, having been absorbed into the national criminal code, whereas the standalone provision charged as the second alternative remains in force.</w:t>
            </w:r>
          </w:p>
          <w:p w14:paraId="38071BBE" w14:textId="77777777" w:rsidR="001E0508" w:rsidRPr="00C676AF" w:rsidRDefault="001E0508" w:rsidP="001E0508">
            <w:pPr>
              <w:spacing w:after="0" w:line="240" w:lineRule="auto"/>
              <w:rPr>
                <w:rFonts w:eastAsia="Times New Roman" w:cs="Segoe UI"/>
                <w:sz w:val="20"/>
                <w:szCs w:val="20"/>
              </w:rPr>
            </w:pPr>
          </w:p>
          <w:p w14:paraId="3968C054" w14:textId="77777777" w:rsidR="00886EB8" w:rsidRDefault="00886EB8" w:rsidP="001E0508">
            <w:pPr>
              <w:spacing w:after="0" w:line="240" w:lineRule="auto"/>
              <w:rPr>
                <w:rFonts w:eastAsia="Times New Roman" w:cs="Segoe UI"/>
                <w:b/>
                <w:iCs/>
                <w:sz w:val="20"/>
                <w:szCs w:val="20"/>
              </w:rPr>
            </w:pPr>
          </w:p>
          <w:p w14:paraId="5CE97357" w14:textId="16546BC6" w:rsidR="00147D80" w:rsidRDefault="00241D17" w:rsidP="001E0508">
            <w:pPr>
              <w:spacing w:after="0" w:line="240" w:lineRule="auto"/>
              <w:rPr>
                <w:rStyle w:val="Strong"/>
                <w:rFonts w:cs="Segoe UI"/>
                <w:b w:val="0"/>
                <w:bCs w:val="0"/>
                <w:color w:val="000000"/>
                <w:sz w:val="21"/>
                <w:szCs w:val="21"/>
                <w:shd w:val="clear" w:color="auto" w:fill="FFFFFF"/>
              </w:rPr>
            </w:pPr>
            <w:r>
              <w:rPr>
                <w:rFonts w:eastAsia="Times New Roman" w:cs="Segoe UI"/>
                <w:b/>
                <w:iCs/>
                <w:sz w:val="20"/>
                <w:szCs w:val="20"/>
              </w:rPr>
              <w:t>Abstrak:</w:t>
            </w:r>
            <w:r>
              <w:rPr>
                <w:rFonts w:cs="Segoe UI"/>
                <w:color w:val="000000"/>
                <w:sz w:val="20"/>
                <w:szCs w:val="20"/>
                <w:shd w:val="clear" w:color="auto" w:fill="FFFFFF"/>
              </w:rPr>
              <w:t xml:space="preserve"> Undang-undang informasi dan transaksi elektronik tidak memuat delik penipuan secara tegas, sehingga penuntut umum kerap menjangkau Pasal 36, ketentuan yang dalam praktik lazim diperlakukan seolah-olah merupakan delik yang berdiri sendiri. Penelitian ini mengkaji kedudukan normatif Pasal 36 dan penerapannya dengan menggunakan Putusan Pengadilan Negeri Makassar Nomor 47/Pid.Sus/2024/PN Mks sebagai ilustrasi. Penelitian ini merupakan penelitian hukum normatif dengan pendekatan peraturan perundang-undangan, pendekatan kasus, dan pendekatan konseptual, dianalisis secara deskriptif kualitatif. Hasil penelitian menunjukkan Pasal 36 bukan delik mandiri melainkan norma pemberatan: teksnya secara tegas mensyaratkan perbuatan sebagaimana dimaksud dalam Pasal 27 sampai dengan Pasal 34, ketentuan itu tidak memiliki pembagian ayat, dan sanksinya pada Pasal 51 ayat (2) melipatgandakan ancaman pidana delik yang diperberatnya. Penelitian ini berargumentasi bahwa memperlakukannya sebagai delik mandiri menyebabkan unsur penghubungnya tidak pernah diuji, sehingga melemahkan dakwaan sekaligus pertimbangan. Sejak Januari 2026 Pasal 36 tidak lagi berlaku karena diserap ke dalam kodifikasi pidana nasional, sedangkan delik mandiri yang didakwakan sebagai alternatif kedua tetap berlaku.</w:t>
            </w:r>
          </w:p>
          <w:p w14:paraId="414A3B75" w14:textId="2EDC7993" w:rsidR="001E0508" w:rsidRPr="00332E82" w:rsidRDefault="001E0508" w:rsidP="001E0508">
            <w:pPr>
              <w:spacing w:after="0" w:line="240" w:lineRule="auto"/>
              <w:rPr>
                <w:rFonts w:eastAsia="Times New Roman" w:cs="Segoe UI"/>
                <w:iCs/>
                <w:sz w:val="20"/>
                <w:szCs w:val="20"/>
                <w:lang w:val="en-ID"/>
              </w:rPr>
            </w:pPr>
          </w:p>
        </w:tc>
      </w:tr>
      <w:tr w:rsidR="00241D17" w:rsidRPr="00C676AF" w14:paraId="72CB6547" w14:textId="77777777" w:rsidTr="00550BFE">
        <w:trPr>
          <w:trHeight w:val="161"/>
        </w:trPr>
        <w:tc>
          <w:tcPr>
            <w:tcW w:w="5000" w:type="pct"/>
            <w:gridSpan w:val="2"/>
            <w:tcBorders>
              <w:top w:val="single" w:sz="4" w:space="0" w:color="auto"/>
              <w:bottom w:val="single" w:sz="4" w:space="0" w:color="auto"/>
            </w:tcBorders>
          </w:tcPr>
          <w:p w14:paraId="0E1C67EB" w14:textId="6C572104" w:rsidR="00550BFE" w:rsidRPr="006F20C0" w:rsidRDefault="00241D17" w:rsidP="00732CD5">
            <w:pPr>
              <w:spacing w:after="0" w:line="240" w:lineRule="auto"/>
              <w:rPr>
                <w:rFonts w:cs="Segoe UI"/>
                <w:sz w:val="20"/>
                <w:szCs w:val="20"/>
              </w:rPr>
            </w:pPr>
            <w:r>
              <w:rPr>
                <w:rFonts w:cs="Segoe UI"/>
                <w:b/>
                <w:sz w:val="20"/>
                <w:szCs w:val="20"/>
              </w:rPr>
              <w:t>Informasi Artikel</w:t>
            </w:r>
            <w:r>
              <w:rPr>
                <w:rFonts w:cs="Segoe UI"/>
                <w:sz w:val="20"/>
                <w:szCs w:val="20"/>
              </w:rPr>
              <w:t xml:space="preserve">:  Diterima: ……………, Disetujui: ……………, Dipublikasikan: …………… (diisi oleh panitia)</w:t>
            </w:r>
          </w:p>
        </w:tc>
      </w:tr>
    </w:tbl>
    <w:p w14:paraId="505D0FCD" w14:textId="7878117F"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2"/>
          <w:footerReference w:type="default" r:id="rId13"/>
          <w:headerReference w:type="first" r:id="rId14"/>
          <w:type w:val="continuous"/>
          <w:pgSz w:w="11906" w:h="16838" w:code="9"/>
          <w:pgMar w:top="1440" w:right="1440" w:bottom="1440" w:left="1440" w:header="709" w:footer="709" w:gutter="0"/>
          <w:cols w:space="708"/>
          <w:titlePg/>
          <w:docGrid w:linePitch="360"/>
        </w:sectPr>
      </w:pPr>
    </w:p>
    <w:p w14:paraId="3EFD5847" w14:textId="02FC486E" w:rsidR="001E0508" w:rsidRPr="001E0508" w:rsidRDefault="00E02EE7" w:rsidP="00E02EE7">
      <w:pPr>
        <w:pStyle w:val="Heading3"/>
        <w:ind w:firstLine="66"/>
      </w:pPr>
      <w:r>
        <w:t>PENDAHULUAN</w:t>
      </w:r>
    </w:p>
    <w:p>
      <w:pPr>
        <w:pStyle w:val="IEEEParagraph"/>
        <w:ind w:left="567" w:right="322" w:firstLine="567"/>
        <w:rPr>
          <w:rFonts w:ascii="Segoe UI" w:hAnsi="Segoe UI" w:cs="Segoe UI"/>
          <w:sz w:val="22"/>
          <w:szCs w:val="22"/>
        </w:rPr>
      </w:pPr>
      <w:r>
        <w:rPr>
          <w:rFonts w:ascii="Segoe UI" w:hAnsi="Segoe UI" w:cs="Segoe UI"/>
          <w:sz w:val="22"/>
          <w:szCs w:val="22"/>
        </w:rPr>
        <w:t xml:space="preserve">Perkembangan teknologi informasi dan komunikasi telah mengubah pola interaksi masyarakat sekaligus melahirkan bentuk kejahatan baru dengan modus operandi yang berbeda dari kejahatan konvensional (Sitompul, 2012). Kejahatan siber memiliki ciri khas berupa pelaku yang menguasai penggunaan internet beserta aplikasinya, sehingga perbuatannya sulit dijangkau dengan cara penyidikan biasa (Widodo, 2011). Salah satu bentuk yang paling banyak terjadi adalah penipuan yang dilakukan melalui sarana elektronik.</w:t>
      </w:r>
    </w:p>
    <w:p>
      <w:pPr>
        <w:pStyle w:val="IEEEParagraph"/>
        <w:ind w:left="567" w:right="322" w:firstLine="567"/>
        <w:rPr>
          <w:rFonts w:ascii="Segoe UI" w:hAnsi="Segoe UI" w:cs="Segoe UI"/>
          <w:sz w:val="22"/>
          <w:szCs w:val="22"/>
        </w:rPr>
      </w:pPr>
      <w:r>
        <w:rPr>
          <w:rFonts w:ascii="Segoe UI" w:hAnsi="Segoe UI" w:cs="Segoe UI"/>
          <w:sz w:val="22"/>
          <w:szCs w:val="22"/>
        </w:rPr>
        <w:t xml:space="preserve">Kejahatan yang memanfaatkan sarana elektronik memiliki karakter yang berbeda dari kejahatan konvensional, terutama karena pelaku dapat menjangkau banyak korban secara serentak tanpa pertemuan fisik dan dapat menyamarkan identitasnya (Sadiki, 2005). Karakter itu menuntut penyesuaian pada tataran norma, dan penyesuaian tersebut ditempuh Indonesia melalui pembentukan undang-undang pidana khusus di luar kodifikasi, suatu pilihan kebijakan yang menandai perkembangan hukum pidana pasca reformasi (Sulistia &amp; Zurnetti, 2012).</w:t>
      </w:r>
    </w:p>
    <w:p>
      <w:pPr>
        <w:pStyle w:val="IEEEParagraph"/>
        <w:ind w:left="567" w:right="322" w:firstLine="567"/>
        <w:rPr>
          <w:rFonts w:ascii="Segoe UI" w:hAnsi="Segoe UI" w:cs="Segoe UI"/>
          <w:sz w:val="22"/>
          <w:szCs w:val="22"/>
        </w:rPr>
      </w:pPr>
      <w:r>
        <w:rPr>
          <w:rFonts w:ascii="Segoe UI" w:hAnsi="Segoe UI" w:cs="Segoe UI"/>
          <w:sz w:val="22"/>
          <w:szCs w:val="22"/>
        </w:rPr>
        <w:t xml:space="preserve">Persoalan normatifnya bermula dari satu keadaan sederhana: Undang-Undang Nomor 11 Tahun 2008 sebagaimana diubah dengan Undang-Undang Nomor 19 Tahun 2016 tidak memuat rumusan delik penipuan secara tegas, meskipun secara implisit terdapat unsur yang menyerupai penipuan sebagaimana diatur dalam Kitab Undang-Undang Hukum Pidana (Maskun, 2013). Akibatnya, penuntut umum harus mencari ketentuan yang paling mendekati, dan pilihan itu tidak selalu mudah karena undang-undang tersebut menyusun norma-normanya dalam beberapa lapis yang berbeda fungsinya (Syarief dkk., 2015).</w:t>
      </w:r>
    </w:p>
    <w:p>
      <w:pPr>
        <w:pStyle w:val="IEEEParagraph"/>
        <w:ind w:left="567" w:right="322" w:firstLine="567"/>
        <w:rPr>
          <w:rFonts w:ascii="Segoe UI" w:hAnsi="Segoe UI" w:cs="Segoe UI"/>
          <w:sz w:val="22"/>
          <w:szCs w:val="22"/>
        </w:rPr>
      </w:pPr>
      <w:r>
        <w:rPr>
          <w:rFonts w:ascii="Segoe UI" w:hAnsi="Segoe UI" w:cs="Segoe UI"/>
          <w:sz w:val="22"/>
          <w:szCs w:val="22"/>
        </w:rPr>
        <w:t xml:space="preserve">Salah satu ketentuan yang paling sering dijangkau adalah Pasal 36. Ketentuan ini menarik karena rumusannya tampak luas dan seolah-olah dapat menampung berbagai perbuatan yang menimbulkan kerugian, sementara ancaman pidananya pada Pasal 51 ayat (2) jauh lebih berat daripada ketentuan lain dalam undang-undang yang sama. Kombinasi antara rumusan yang tampak luas dan ancaman yang berat itulah yang membuat ketentuan ini kerap ditempatkan pada lapis pertama dakwaan dalam perkara penipuan daring.</w:t>
      </w:r>
    </w:p>
    <w:p>
      <w:pPr>
        <w:pStyle w:val="IEEEParagraph"/>
        <w:ind w:left="567" w:right="322" w:firstLine="567"/>
        <w:rPr>
          <w:rFonts w:ascii="Segoe UI" w:hAnsi="Segoe UI" w:cs="Segoe UI"/>
          <w:sz w:val="22"/>
          <w:szCs w:val="22"/>
        </w:rPr>
      </w:pPr>
      <w:r>
        <w:rPr>
          <w:rFonts w:ascii="Segoe UI" w:hAnsi="Segoe UI" w:cs="Segoe UI"/>
          <w:sz w:val="22"/>
          <w:szCs w:val="22"/>
        </w:rPr>
        <w:t xml:space="preserve">Persoalannya, kedudukan normatif Pasal 36 tidak sebagaimana yang tampak sekilas. Rumusannya secara tegas menunjuk pada perbuatan sebagaimana dimaksud dalam Pasal 27 sampai dengan Pasal 34, sehingga ketentuan itu tidak merumuskan perbuatan baru melainkan memberatkan perbuatan yang sudah dirumuskan di tempat lain. Secara dogmatis, terpenuhinya unsur secara harfiah tidak dengan sendirinya berarti ketentuan itulah yang tepat diterapkan, sebab rumusan delik berfungsi membatasi jangkauan pemidanaan (Ilyas, 2012), dan asas legalitas melarang penafsiran yang memperluas norma melampaui teksnya (Hamzah, 2008).</w:t>
      </w:r>
    </w:p>
    <w:p>
      <w:pPr>
        <w:pStyle w:val="IEEEParagraph"/>
        <w:ind w:left="567" w:right="322" w:firstLine="567"/>
        <w:rPr>
          <w:rFonts w:ascii="Segoe UI" w:hAnsi="Segoe UI" w:cs="Segoe UI"/>
          <w:sz w:val="22"/>
          <w:szCs w:val="22"/>
        </w:rPr>
      </w:pPr>
      <w:r>
        <w:rPr>
          <w:rFonts w:ascii="Segoe UI" w:hAnsi="Segoe UI" w:cs="Segoe UI"/>
          <w:sz w:val="22"/>
          <w:szCs w:val="22"/>
        </w:rPr>
        <w:t xml:space="preserve">Putusan Pengadilan Negeri Makassar Nomor 47/Pid.Sus/2024/PN Mks menyediakan ilustrasi yang jelas atas persoalan tersebut. Dalam perkara itu terdakwa menawarkan investasi fiktif melalui akun media sosial dan mengarahkan korban mentransfer dana secara bertahap. Penuntut umum menempatkan Pasal 36 juncto Pasal 51 ayat (2) sebagai dakwaan alternatif kesatu dan sebuah delik mandiri sebagai dakwaan alternatif kedua, lalu majelis hakim memilih lapis pertama. Cara ketentuan itu dirumuskan dalam dakwaan, diuji dalam pertimbangan, dan dinyatakan dalam amar memperlihatkan bagaimana Pasal 36 dipahami dalam praktik.</w:t>
      </w:r>
    </w:p>
    <w:p>
      <w:pPr>
        <w:pStyle w:val="IEEEParagraph"/>
        <w:ind w:left="567" w:right="322" w:firstLine="567"/>
        <w:rPr>
          <w:rFonts w:ascii="Segoe UI" w:hAnsi="Segoe UI" w:cs="Segoe UI"/>
          <w:sz w:val="22"/>
          <w:szCs w:val="22"/>
        </w:rPr>
      </w:pPr>
      <w:r>
        <w:rPr>
          <w:rFonts w:ascii="Segoe UI" w:hAnsi="Segoe UI" w:cs="Segoe UI"/>
          <w:sz w:val="22"/>
          <w:szCs w:val="22"/>
        </w:rPr>
        <w:t xml:space="preserve">Kajian mengenai tindak pidana siber di Indonesia telah berkembang cukup lama. Arief (2007) menelaah perkembangan tindak pidana mayantara, Suseno (2012) mengkaji persoalan yurisdiksi kejahatan siber, Maskun dan Meilarati (2017) membahas aspek hukum penipuan berbasis internet, sedangkan Syarief dkk. (2015) menganalisis penipuan pada transaksi jual beli daring. Kajian-kajian tersebut berjasa membangun kerangka konseptual, tetapi umumnya membahas ketentuan pidana dalam undang-undang tersebut sebagai satu kesatuan tanpa memilah lapis fungsinya, sehingga kedudukan Pasal 36 sebagai norma pemberatan belum memperoleh perhatian tersendiri.</w:t>
      </w:r>
    </w:p>
    <w:p>
      <w:pPr>
        <w:pStyle w:val="IEEEParagraph"/>
        <w:ind w:left="567" w:right="322" w:firstLine="567"/>
        <w:rPr>
          <w:rFonts w:ascii="Segoe UI" w:hAnsi="Segoe UI" w:cs="Segoe UI"/>
          <w:sz w:val="22"/>
          <w:szCs w:val="22"/>
        </w:rPr>
      </w:pPr>
      <w:r>
        <w:rPr>
          <w:rFonts w:ascii="Segoe UI" w:hAnsi="Segoe UI" w:cs="Segoe UI"/>
          <w:sz w:val="22"/>
          <w:szCs w:val="22"/>
        </w:rPr>
        <w:t xml:space="preserve">Berbeda dengan penelitian sebelumnya, penelitian ini menjadikan kedudukan normatif Pasal 36 sebagai pusat kajian dan menempatkan putusan sebagai ilustrasi penerapannya, bukan sebaliknya. Penelitian ini juga menempatkan ketentuan tersebut pada titik transisi sistem pemidanaan nasional, sebab sejak 2 Januari 2026 berlaku Undang-Undang Nomor 1 Tahun 2023 tentang Kitab Undang-Undang Hukum Pidana, sementara Pasal II Undang-Undang Nomor 1 Tahun 2024 membatasi masa berlaku sebagian ketentuan pidana dalam undang-undang informasi dan transaksi elektronik. Dimensi transisional inilah yang belum dijangkau kajian terdahulu, padahal justru dimensi itu yang menentukan apakah pola penerapan seperti dalam perkara a quo masih dapat diulang.</w:t>
      </w:r>
    </w:p>
    <w:p>
      <w:pPr>
        <w:pStyle w:val="IEEEParagraph"/>
        <w:ind w:left="567" w:right="322" w:firstLine="567"/>
        <w:rPr>
          <w:rFonts w:ascii="Segoe UI" w:hAnsi="Segoe UI" w:cs="Segoe UI"/>
          <w:sz w:val="22"/>
          <w:szCs w:val="22"/>
        </w:rPr>
      </w:pPr>
      <w:r>
        <w:rPr>
          <w:rFonts w:ascii="Segoe UI" w:hAnsi="Segoe UI" w:cs="Segoe UI"/>
          <w:sz w:val="22"/>
          <w:szCs w:val="22"/>
        </w:rPr>
        <w:t xml:space="preserve">Tujuan penelitian ini adalah, pertama, menganalisis dakwaan penuntut umum dalam tindak pidana penipuan daring sebagaimana diatur dalam Pasal 36 undang-undang informasi dan transaksi elektronik berdasarkan Putusan Nomor 47/Pid.Sus/2024/PN Mks; kedua, menganalisis pertimbangan hukum hakim dalam putusan tersebut. Secara teoretis, penelitian ini berkontribusi pada kajian hukum pidana siber dengan menegaskan pembedaan antara delik mandiri dan norma pemberatan dalam undang-undang tersebut. Secara praktis, hasil penelitian ini dapat menjadi rujukan bagi penuntut umum dan hakim dalam merangkai rujukan pasal secara tepat pada perkara penipuan daring.</w:t>
      </w:r>
    </w:p>
    <w:p w14:paraId="1382B788" w14:textId="468BF956" w:rsidR="001E0508" w:rsidRPr="001C62FB" w:rsidRDefault="001C62FB" w:rsidP="00955050">
      <w:pPr>
        <w:pStyle w:val="Heading3"/>
        <w:ind w:left="1134" w:right="322" w:hanging="425"/>
      </w:pPr>
      <w:r>
        <w:t xml:space="preserve">METODOLOGI PENELITIAN </w:t>
      </w:r>
    </w:p>
    <w:p>
      <w:pPr>
        <w:pStyle w:val="IEEEParagraph"/>
        <w:ind w:left="567" w:right="322" w:firstLine="567"/>
        <w:rPr>
          <w:rFonts w:ascii="Segoe UI" w:hAnsi="Segoe UI" w:cs="Segoe UI"/>
          <w:sz w:val="22"/>
          <w:szCs w:val="22"/>
        </w:rPr>
      </w:pPr>
      <w:r>
        <w:rPr>
          <w:rFonts w:ascii="Segoe UI" w:hAnsi="Segoe UI" w:cs="Segoe UI"/>
          <w:sz w:val="22"/>
          <w:szCs w:val="22"/>
        </w:rPr>
        <w:t xml:space="preserve">Bagian ini menguraikan cara penelitian dilakukan agar temuan yang disajikan dapat ditelusuri dan diuji kembali. Uraian mencakup jenis dan pendekatan penelitian, lokasi penelitian, jenis dan sumber data, teknik pengumpulan data, teknik analisis, serta batasan penelitian.</w:t>
      </w:r>
    </w:p>
    <w:p>
      <w:pPr>
        <w:pStyle w:val="IEEEParagraph"/>
        <w:ind w:left="567" w:right="322"/>
      </w:pPr>
    </w:p>
    <w:p>
      <w:pPr>
        <w:pStyle w:val="Heading2"/>
        <w:ind w:right="322"/>
        <w:rPr>
          <w:rStyle w:val="mediumtext"/>
        </w:rPr>
      </w:pPr>
      <w:r>
        <w:rPr>
          <w:rStyle w:val="mediumtext"/>
        </w:rPr>
        <w:t xml:space="preserve">2.1 Jenis dan Pendekatan Penelitian</w:t>
      </w:r>
    </w:p>
    <w:p>
      <w:pPr>
        <w:pStyle w:val="IEEEParagraph"/>
        <w:ind w:left="567" w:right="322" w:firstLine="567"/>
        <w:rPr>
          <w:rFonts w:ascii="Segoe UI" w:hAnsi="Segoe UI" w:cs="Segoe UI"/>
          <w:sz w:val="22"/>
          <w:szCs w:val="22"/>
        </w:rPr>
      </w:pPr>
      <w:r>
        <w:rPr>
          <w:rFonts w:ascii="Segoe UI" w:hAnsi="Segoe UI" w:cs="Segoe UI"/>
          <w:sz w:val="22"/>
          <w:szCs w:val="22"/>
        </w:rPr>
        <w:t xml:space="preserve">Penelitian ini merupakan penelitian hukum normatif, yaitu penelitian yang menempatkan norma hukum dan amar putusan hakim sebagai objek kajian utama. Pilihan tersebut ditentukan oleh karakter kedua permasalahan yang dirumuskan, yang sama-sama menuntut pengujian atas kesesuaian antara norma dan fakta hukum, bukan pengukuran variabel maupun pengujian hipotesis.</w:t>
      </w:r>
    </w:p>
    <w:p>
      <w:pPr>
        <w:pStyle w:val="IEEEParagraph"/>
        <w:ind w:left="567" w:right="322" w:firstLine="567"/>
        <w:rPr>
          <w:rFonts w:ascii="Segoe UI" w:hAnsi="Segoe UI" w:cs="Segoe UI"/>
          <w:sz w:val="22"/>
          <w:szCs w:val="22"/>
        </w:rPr>
      </w:pPr>
      <w:r>
        <w:rPr>
          <w:rFonts w:ascii="Segoe UI" w:hAnsi="Segoe UI" w:cs="Segoe UI"/>
          <w:sz w:val="22"/>
          <w:szCs w:val="22"/>
        </w:rPr>
        <w:t xml:space="preserve">Pendekatan yang digunakan terdiri atas pendekatan peraturan perundang-undangan (</w:t>
      </w:r>
      <w:r>
        <w:rPr>
          <w:rFonts w:ascii="Segoe UI" w:hAnsi="Segoe UI" w:cs="Segoe UI"/>
          <w:sz w:val="22"/>
          <w:szCs w:val="22"/>
          <w:i/>
          <w:iCs/>
        </w:rPr>
        <w:t xml:space="preserve">statute approach</w:t>
      </w:r>
      <w:r>
        <w:rPr>
          <w:rFonts w:ascii="Segoe UI" w:hAnsi="Segoe UI" w:cs="Segoe UI"/>
          <w:sz w:val="22"/>
          <w:szCs w:val="22"/>
        </w:rPr>
        <w:t xml:space="preserve">), pendekatan kasus (</w:t>
      </w:r>
      <w:r>
        <w:rPr>
          <w:rFonts w:ascii="Segoe UI" w:hAnsi="Segoe UI" w:cs="Segoe UI"/>
          <w:sz w:val="22"/>
          <w:szCs w:val="22"/>
          <w:i/>
          <w:iCs/>
        </w:rPr>
        <w:t xml:space="preserve">case approach</w:t>
      </w:r>
      <w:r>
        <w:rPr>
          <w:rFonts w:ascii="Segoe UI" w:hAnsi="Segoe UI" w:cs="Segoe UI"/>
          <w:sz w:val="22"/>
          <w:szCs w:val="22"/>
        </w:rPr>
        <w:t xml:space="preserve">), dan pendekatan konseptual (</w:t>
      </w:r>
      <w:r>
        <w:rPr>
          <w:rFonts w:ascii="Segoe UI" w:hAnsi="Segoe UI" w:cs="Segoe UI"/>
          <w:sz w:val="22"/>
          <w:szCs w:val="22"/>
          <w:i/>
          <w:iCs/>
        </w:rPr>
        <w:t xml:space="preserve">conceptual approach</w:t>
      </w:r>
      <w:r>
        <w:rPr>
          <w:rFonts w:ascii="Segoe UI" w:hAnsi="Segoe UI" w:cs="Segoe UI"/>
          <w:sz w:val="22"/>
          <w:szCs w:val="22"/>
        </w:rPr>
        <w:t xml:space="preserve">). Pendekatan perundang-undangan menempati posisi utama karena pusat kajian adalah kedudukan sebuah ketentuan dalam sistematika undang-undang, sehingga yang ditelaah bukan hanya rumusan unsurnya melainkan juga letaknya di antara ketentuan lain, cara penomorannya, ketentuan pidananya, dan masa berlakunya.</w:t>
      </w:r>
    </w:p>
    <w:p>
      <w:pPr>
        <w:pStyle w:val="IEEEParagraph"/>
        <w:ind w:left="567" w:right="322" w:firstLine="567"/>
        <w:rPr>
          <w:rFonts w:ascii="Segoe UI" w:hAnsi="Segoe UI" w:cs="Segoe UI"/>
          <w:sz w:val="22"/>
          <w:szCs w:val="22"/>
        </w:rPr>
      </w:pPr>
      <w:r>
        <w:rPr>
          <w:rFonts w:ascii="Segoe UI" w:hAnsi="Segoe UI" w:cs="Segoe UI"/>
          <w:sz w:val="22"/>
          <w:szCs w:val="22"/>
        </w:rPr>
        <w:t xml:space="preserve">Pendekatan kasus dipakai untuk menguji bagaimana ketentuan tersebut benar-benar diterapkan, dengan menelusuri penyebutannya pada surat dakwaan, pengujian unsurnya dalam pertimbangan, dan kualifikasinya dalam amar putusan. Pendekatan konseptual dipakai untuk mendudukkan pembedaan antara delik mandiri dan norma pemberatan serta konsep proporsionalitas pemidanaan. Perpaduan ketiganya diperlukan karena permasalahan penelitian tidak berhenti pada pertanyaan apakah terdakwa terbukti bersalah, melainkan berlanjut pada pertanyaan apakah ketentuan yang dipakai memang menjangkau perbuatan itu menurut kedudukannya dalam undang-undang.</w:t>
      </w:r>
    </w:p>
    <w:p>
      <w:pPr>
        <w:pStyle w:val="IEEEParagraph"/>
        <w:ind w:left="567" w:right="322"/>
      </w:pPr>
    </w:p>
    <w:p>
      <w:pPr>
        <w:pStyle w:val="Heading2"/>
        <w:ind w:right="322"/>
        <w:rPr>
          <w:rStyle w:val="mediumtext"/>
        </w:rPr>
      </w:pPr>
      <w:r>
        <w:rPr>
          <w:rStyle w:val="mediumtext"/>
        </w:rPr>
        <w:t xml:space="preserve">2.2 Lokasi Penelitian, Jenis dan Sumber Data</w:t>
      </w:r>
    </w:p>
    <w:p>
      <w:pPr>
        <w:pStyle w:val="IEEEParagraph"/>
        <w:ind w:left="567" w:right="322" w:firstLine="567"/>
        <w:rPr>
          <w:rFonts w:ascii="Segoe UI" w:hAnsi="Segoe UI" w:cs="Segoe UI"/>
          <w:sz w:val="22"/>
          <w:szCs w:val="22"/>
        </w:rPr>
      </w:pPr>
      <w:r>
        <w:rPr>
          <w:rFonts w:ascii="Segoe UI" w:hAnsi="Segoe UI" w:cs="Segoe UI"/>
          <w:sz w:val="22"/>
          <w:szCs w:val="22"/>
        </w:rPr>
        <w:t xml:space="preserve">Penelitian dilaksanakan di Pengadilan Negeri Makassar sebagai pengadilan yang menjatuhkan putusan yang dikaji. Data primer diperoleh dari lapangan dengan mengadakan wawancara secara langsung dengan pihak yang terkait dengan penelitian ini, sedangkan data sekunder diperoleh melalui studi kepustakaan berupa buku, peraturan perundang-undangan, dan dokumen lain yang berkaitan langsung dengan masalah yang diteliti.</w:t>
      </w:r>
    </w:p>
    <w:p>
      <w:pPr>
        <w:pStyle w:val="IEEEParagraph"/>
        <w:ind w:left="567" w:right="322" w:firstLine="567"/>
        <w:rPr>
          <w:rFonts w:ascii="Segoe UI" w:hAnsi="Segoe UI" w:cs="Segoe UI"/>
          <w:sz w:val="22"/>
          <w:szCs w:val="22"/>
        </w:rPr>
      </w:pPr>
      <w:r>
        <w:rPr>
          <w:rFonts w:ascii="Segoe UI" w:hAnsi="Segoe UI" w:cs="Segoe UI"/>
          <w:sz w:val="22"/>
          <w:szCs w:val="22"/>
        </w:rPr>
        <w:t xml:space="preserve">Bahan hukum primer terdiri atas Putusan Nomor 47/Pid.Sus/2024/PN Mks beserta surat dakwaan, keterangan saksi dan terdakwa, serta daftar barang bukti yang melekat padanya; Kitab Undang-Undang Hukum Pidana; Undang-Undang Nomor 8 Tahun 1981 tentang Hukum Acara Pidana; Undang-Undang Nomor 11 Tahun 2008 tentang Informasi dan Transaksi Elektronik beserta perubahannya melalui Undang-Undang Nomor 19 Tahun 2016 dan Undang-Undang Nomor 1 Tahun 2024; Undang-Undang Nomor 1 Tahun 2023 tentang Kitab Undang-Undang Hukum Pidana; serta Undang-Undang Nomor 20 Tahun 2025 tentang Kitab Undang-Undang Hukum Acara Pidana. Bahan hukum sekunder berupa buku hukum pidana dan hukum pidana siber, artikel jurnal, dan pendapat para ahli yang relevan.</w:t>
      </w:r>
    </w:p>
    <w:p>
      <w:pPr>
        <w:pStyle w:val="IEEEParagraph"/>
        <w:ind w:left="567" w:right="322"/>
      </w:pPr>
    </w:p>
    <w:p>
      <w:pPr>
        <w:pStyle w:val="Heading2"/>
        <w:ind w:right="322"/>
        <w:rPr>
          <w:rStyle w:val="mediumtext"/>
        </w:rPr>
      </w:pPr>
      <w:r>
        <w:rPr>
          <w:rStyle w:val="mediumtext"/>
        </w:rPr>
        <w:t xml:space="preserve">2.3 Teknik Pengumpulan Data</w:t>
      </w:r>
    </w:p>
    <w:p>
      <w:pPr>
        <w:pStyle w:val="IEEEParagraph"/>
        <w:ind w:left="567" w:right="322" w:firstLine="567"/>
        <w:rPr>
          <w:rFonts w:ascii="Segoe UI" w:hAnsi="Segoe UI" w:cs="Segoe UI"/>
          <w:sz w:val="22"/>
          <w:szCs w:val="22"/>
        </w:rPr>
      </w:pPr>
      <w:r>
        <w:rPr>
          <w:rFonts w:ascii="Segoe UI" w:hAnsi="Segoe UI" w:cs="Segoe UI"/>
          <w:sz w:val="22"/>
          <w:szCs w:val="22"/>
        </w:rPr>
        <w:t xml:space="preserve">Pengumpulan data ditempuh melalui penelitian kepustakaan (</w:t>
      </w:r>
      <w:r>
        <w:rPr>
          <w:rFonts w:ascii="Segoe UI" w:hAnsi="Segoe UI" w:cs="Segoe UI"/>
          <w:sz w:val="22"/>
          <w:szCs w:val="22"/>
          <w:i/>
          <w:iCs/>
        </w:rPr>
        <w:t xml:space="preserve">library research</w:t>
      </w:r>
      <w:r>
        <w:rPr>
          <w:rFonts w:ascii="Segoe UI" w:hAnsi="Segoe UI" w:cs="Segoe UI"/>
          <w:sz w:val="22"/>
          <w:szCs w:val="22"/>
        </w:rPr>
        <w:t xml:space="preserve">), yaitu penelaahan bahan pustaka termasuk buku, peraturan perundang-undangan, dan dokumen lain yang berkaitan dengan materi penelitian, serta melalui penelitian lapangan (</w:t>
      </w:r>
      <w:r>
        <w:rPr>
          <w:rFonts w:ascii="Segoe UI" w:hAnsi="Segoe UI" w:cs="Segoe UI"/>
          <w:sz w:val="22"/>
          <w:szCs w:val="22"/>
          <w:i/>
          <w:iCs/>
        </w:rPr>
        <w:t xml:space="preserve">field research</w:t>
      </w:r>
      <w:r>
        <w:rPr>
          <w:rFonts w:ascii="Segoe UI" w:hAnsi="Segoe UI" w:cs="Segoe UI"/>
          <w:sz w:val="22"/>
          <w:szCs w:val="22"/>
        </w:rPr>
        <w:t xml:space="preserve">) berupa pengamatan langsung, penelaahan, dan analisis terhadap amar dan pertimbangan hukum hakim pada perkara yang dikaji.</w:t>
      </w:r>
    </w:p>
    <w:p>
      <w:pPr>
        <w:pStyle w:val="IEEEParagraph"/>
        <w:ind w:left="567" w:right="322" w:firstLine="567"/>
        <w:rPr>
          <w:rFonts w:ascii="Segoe UI" w:hAnsi="Segoe UI" w:cs="Segoe UI"/>
          <w:sz w:val="22"/>
          <w:szCs w:val="22"/>
        </w:rPr>
      </w:pPr>
      <w:r>
        <w:rPr>
          <w:rFonts w:ascii="Segoe UI" w:hAnsi="Segoe UI" w:cs="Segoe UI"/>
          <w:sz w:val="22"/>
          <w:szCs w:val="22"/>
        </w:rPr>
        <w:t xml:space="preserve">Khusus untuk menelusuri kedudukan dan masa berlaku ketentuan yang dikaji, penelusuran diarahkan pada teks undang-undang beserta ketentuan penutup dan ketentuan peralihannya, bukan pada tulisan populer, agar setiap pernyataan mengenai rumusan dan keberlakuan norma dapat diverifikasi sumbernya. Bahan yang tidak dapat diverifikasi tidak digunakan sebagai dasar argumentasi.</w:t>
      </w:r>
    </w:p>
    <w:p>
      <w:pPr>
        <w:pStyle w:val="IEEEParagraph"/>
        <w:ind w:left="567" w:right="322"/>
      </w:pPr>
    </w:p>
    <w:p>
      <w:pPr>
        <w:pStyle w:val="Heading2"/>
        <w:ind w:right="322"/>
        <w:rPr>
          <w:rStyle w:val="mediumtext"/>
        </w:rPr>
      </w:pPr>
      <w:r>
        <w:rPr>
          <w:rStyle w:val="mediumtext"/>
        </w:rPr>
        <w:t xml:space="preserve">2.4 Teknik Analisis Data</w:t>
      </w:r>
    </w:p>
    <w:p>
      <w:pPr>
        <w:pStyle w:val="IEEEParagraph"/>
        <w:ind w:left="567" w:right="322" w:firstLine="567"/>
        <w:rPr>
          <w:rFonts w:ascii="Segoe UI" w:hAnsi="Segoe UI" w:cs="Segoe UI"/>
          <w:sz w:val="22"/>
          <w:szCs w:val="22"/>
        </w:rPr>
      </w:pPr>
      <w:r>
        <w:rPr>
          <w:rFonts w:ascii="Segoe UI" w:hAnsi="Segoe UI" w:cs="Segoe UI"/>
          <w:sz w:val="22"/>
          <w:szCs w:val="22"/>
        </w:rPr>
        <w:t xml:space="preserve">Data yang diperoleh disusun, diuraikan, dan dianalisis secara kualitatif serta dipaparkan secara deskriptif. Analisis ditempuh melalui alur berjenjang, yaitu identifikasi kedudukan ketentuan dalam sistematika undang-undang, identifikasi rumusan unsurnya, pengujian kesesuaian antara fakta hukum dan unsur tersebut, penilaian atas cara ketentuan itu diterapkan dalam putusan, dan perumusan argumentasi penulis.</w:t>
      </w:r>
    </w:p>
    <w:p>
      <w:pPr>
        <w:pStyle w:val="IEEEParagraph"/>
        <w:ind w:left="567" w:right="322" w:firstLine="567"/>
        <w:rPr>
          <w:rFonts w:ascii="Segoe UI" w:hAnsi="Segoe UI" w:cs="Segoe UI"/>
          <w:sz w:val="22"/>
          <w:szCs w:val="22"/>
        </w:rPr>
      </w:pPr>
      <w:r>
        <w:rPr>
          <w:rFonts w:ascii="Segoe UI" w:hAnsi="Segoe UI" w:cs="Segoe UI"/>
          <w:sz w:val="22"/>
          <w:szCs w:val="22"/>
        </w:rPr>
        <w:t xml:space="preserve">Analisis kemudian dilanjutkan dengan penelusuran tiga lapis penyebutan, yaitu penyebutan ketentuan pada surat dakwaan, rumusan unsur yang diuji dalam pertimbangan, dan kualifikasi yang dinyatakan dalam amar. Penyandingan ketiganya dipakai untuk menilai konsistensi penerapan, dan hasilnya dihubungkan dengan status keberlakuan ketentuan sesudah putusan dijatuhkan.</w:t>
      </w:r>
    </w:p>
    <w:p>
      <w:pPr>
        <w:pStyle w:val="IEEEParagraph"/>
        <w:ind w:left="567" w:right="322" w:firstLine="567"/>
        <w:rPr>
          <w:rFonts w:ascii="Segoe UI" w:hAnsi="Segoe UI" w:cs="Segoe UI"/>
          <w:sz w:val="22"/>
          <w:szCs w:val="22"/>
        </w:rPr>
      </w:pPr>
      <w:r>
        <w:rPr>
          <w:rFonts w:ascii="Segoe UI" w:hAnsi="Segoe UI" w:cs="Segoe UI"/>
          <w:sz w:val="22"/>
          <w:szCs w:val="22"/>
        </w:rPr>
        <w:t xml:space="preserve">Validitas analisis dijaga melalui dua cara. Pertama, setiap pernyataan mengenai rumusan unsur, penomoran, dan ancaman pidana diperiksa langsung pada teks undang-undang agar tidak terjadi kekeliruan penyebutan norma. Kedua, setiap penilaian normatif diuji dengan menyandingkannya pada pandangan yang berbeda, khususnya pandangan yang menekankan kemerdekaan hakim dalam menilai pembuktian dan menentukan berat pidana, agar argumentasi yang dibangun tidak bersifat satu arah.</w:t>
      </w:r>
    </w:p>
    <w:p>
      <w:pPr>
        <w:pStyle w:val="IEEEParagraph"/>
        <w:ind w:left="567" w:right="322"/>
      </w:pPr>
    </w:p>
    <w:p>
      <w:pPr>
        <w:pStyle w:val="Heading2"/>
        <w:ind w:right="322"/>
        <w:rPr>
          <w:rStyle w:val="mediumtext"/>
        </w:rPr>
      </w:pPr>
      <w:r>
        <w:rPr>
          <w:rStyle w:val="mediumtext"/>
        </w:rPr>
        <w:t xml:space="preserve">2.5 Batasan Penelitian</w:t>
      </w:r>
    </w:p>
    <w:p>
      <w:pPr>
        <w:pStyle w:val="IEEEParagraph"/>
        <w:ind w:left="567" w:right="322" w:firstLine="567"/>
        <w:rPr>
          <w:rFonts w:ascii="Segoe UI" w:hAnsi="Segoe UI" w:cs="Segoe UI"/>
          <w:sz w:val="22"/>
          <w:szCs w:val="22"/>
        </w:rPr>
      </w:pPr>
      <w:r>
        <w:rPr>
          <w:rFonts w:ascii="Segoe UI" w:hAnsi="Segoe UI" w:cs="Segoe UI"/>
          <w:sz w:val="22"/>
          <w:szCs w:val="22"/>
        </w:rPr>
        <w:t xml:space="preserve">Penelitian ini dibatasi pada kedudukan dan penerapan satu ketentuan dalam satu putusan, sehingga tidak dimaksudkan menggeneralisasi praktik peradilan perkara penipuan daring secara nasional; nilai penelitian terletak pada kedalaman analisis normatif, bukan pada keterwakilan statistik. Penilaian terhadap regulasi terbaru dibatasi pada aspek rumusan unsur, ancaman pidana, dan status keberlakuan ketentuan, serta tidak mencakup evaluasi empiris atas penerapannya. Kesimpulan yang ditarik berlaku pada tataran konstruksi hukum dan bukan merupakan penilaian atas kinerja aparat tertentu.</w:t>
      </w:r>
    </w:p>
    <w:p w14:paraId="12B5585A" w14:textId="6E9841B4" w:rsidR="001E0508" w:rsidRPr="001C62FB" w:rsidRDefault="006F0069" w:rsidP="006F0069">
      <w:pPr>
        <w:pStyle w:val="Heading3"/>
        <w:ind w:left="1134" w:hanging="283"/>
      </w:pPr>
      <w:r>
        <w:rPr>
          <w:iCs/>
        </w:rPr>
        <w:t>HASIL DA</w:t>
      </w:r>
      <w:r>
        <w:t>N PEMBAHASAN</w:t>
      </w:r>
    </w:p>
    <w:p>
      <w:pPr>
        <w:pStyle w:val="IEEEParagraph"/>
        <w:ind w:left="567" w:right="322" w:firstLine="567"/>
        <w:rPr>
          <w:rFonts w:ascii="Segoe UI" w:hAnsi="Segoe UI" w:cs="Segoe UI"/>
          <w:sz w:val="22"/>
          <w:szCs w:val="22"/>
        </w:rPr>
      </w:pPr>
      <w:r>
        <w:rPr>
          <w:rFonts w:ascii="Segoe UI" w:hAnsi="Segoe UI" w:cs="Segoe UI"/>
          <w:sz w:val="22"/>
          <w:szCs w:val="22"/>
        </w:rPr>
        <w:t xml:space="preserve">Hasil penelitian dan pembahasan disajikan secara terpadu mengikuti dua rumusan masalah. Subbagian 3.1 menganalisis kedudukan normatif ketentuan yang dikaji beserta konstruksi dakwaan penuntut umum, sedangkan subbagian 3.2 menganalisis penerapannya dalam pertimbangan hakim beserta status keberlakuannya.</w:t>
      </w:r>
    </w:p>
    <w:p>
      <w:pPr>
        <w:pStyle w:val="IEEEParagraph"/>
        <w:ind w:left="567" w:right="322"/>
      </w:pPr>
    </w:p>
    <w:p>
      <w:pPr>
        <w:pStyle w:val="Heading2"/>
        <w:ind w:right="322"/>
        <w:rPr>
          <w:rStyle w:val="mediumtext"/>
        </w:rPr>
      </w:pPr>
      <w:r>
        <w:rPr>
          <w:rStyle w:val="mediumtext"/>
        </w:rPr>
        <w:t xml:space="preserve">3.1 Kedudukan Normatif Pasal 36 dan Konstruksi Dakwaan Penuntut Umum</w:t>
      </w:r>
    </w:p>
    <w:p>
      <w:pPr>
        <w:pStyle w:val="IEEEParagraph"/>
        <w:ind w:left="567" w:right="322" w:firstLine="567"/>
        <w:rPr>
          <w:rFonts w:ascii="Segoe UI" w:hAnsi="Segoe UI" w:cs="Segoe UI"/>
          <w:sz w:val="22"/>
          <w:szCs w:val="22"/>
        </w:rPr>
      </w:pPr>
      <w:r>
        <w:rPr>
          <w:rFonts w:ascii="Segoe UI" w:hAnsi="Segoe UI" w:cs="Segoe UI"/>
          <w:sz w:val="22"/>
          <w:szCs w:val="22"/>
        </w:rPr>
        <w:t xml:space="preserve">Perkara yang menjadi ilustrasi bermula ketika terdakwa memposting penawaran investasi berimbal hasil tinggi melalui sebuah akun media sosial dan menautkan pranala menuju grup pesan instan berisi testimoni keuntungan. Seorang saksi korban tertarik, bergabung, dan mentransfer dana secara bertahap hingga mencapai jumlah tertentu tanpa pernah menerima imbal hasil yang dijanjikan maupun pengembalian modal. Dana tersebut kemudian dipindahkan berlapis ke rekening lain yang dikuasai terdakwa. Atas peristiwa itu penuntut umum menyusun dakwaan berbentuk alternatif dengan dua lapis, yaitu Pasal 36 juncto Pasal 51 ayat (2) sebagai dakwaan kesatu dan Pasal 28 ayat (1) juncto Pasal 45A ayat (1) sebagai dakwaan kedua.</w:t>
      </w:r>
    </w:p>
    <w:p>
      <w:pPr>
        <w:pStyle w:val="IEEEParagraph"/>
        <w:ind w:left="567" w:right="322" w:firstLine="567"/>
        <w:rPr>
          <w:rFonts w:ascii="Segoe UI" w:hAnsi="Segoe UI" w:cs="Segoe UI"/>
          <w:sz w:val="22"/>
          <w:szCs w:val="22"/>
        </w:rPr>
      </w:pPr>
      <w:r>
        <w:rPr>
          <w:rFonts w:ascii="Segoe UI" w:hAnsi="Segoe UI" w:cs="Segoe UI"/>
          <w:sz w:val="22"/>
          <w:szCs w:val="22"/>
        </w:rPr>
        <w:t xml:space="preserve">Sebelum menilai ketepatan konstruksi itu, kedudukan kedua ketentuan perlu didudukkan lebih dahulu. Undang-undang informasi dan transaksi elektronik tidak menyusun seluruh ketentuan pidananya dalam satu lapis. Terdapat kelompok ketentuan yang merumuskan perbuatan yang dilarang secara mandiri, dan terdapat pula ketentuan yang tidak merumuskan perbuatan baru melainkan memberatkan perbuatan yang telah dirumuskan di tempat lain. Pembedaan semacam ini lazim dalam hukum pidana, sebab suatu norma hanya dapat berdiri sendiri apabila seluruh unsurnya terumus di dalamnya (Ekaputra, 2015). Tabel 1 menyandingkan kedudukan normatif kedua ketentuan yang didakwakan.</w:t>
      </w:r>
    </w:p>
    <w:p>
      <w:pPr>
        <w:keepNext/>
        <w:keepLines/>
        <w:spacing w:before="120" w:after="60" w:line="240" w:lineRule="auto"/>
        <w:ind w:left="567" w:right="322"/>
        <w:jc w:val="left"/>
        <w:rPr>
          <w:rFonts w:ascii="Segoe UI" w:hAnsi="Segoe UI" w:cs="Segoe UI"/>
          <w:sz w:val="20"/>
          <w:szCs w:val="20"/>
        </w:rPr>
      </w:pPr>
      <w:r>
        <w:rPr>
          <w:rFonts w:ascii="Segoe UI" w:hAnsi="Segoe UI" w:cs="Segoe UI"/>
          <w:b/>
          <w:bCs/>
          <w:sz w:val="20"/>
          <w:szCs w:val="20"/>
        </w:rPr>
        <w:t xml:space="preserve">Tabel 1. </w:t>
      </w:r>
      <w:r>
        <w:rPr>
          <w:rFonts w:ascii="Segoe UI" w:hAnsi="Segoe UI" w:cs="Segoe UI"/>
          <w:sz w:val="20"/>
          <w:szCs w:val="20"/>
        </w:rPr>
        <w:t xml:space="preserve">Perbandingan Kedudukan Normatif Kedua Ketentuan yang Didakwakan</w:t>
      </w:r>
    </w:p>
    <w:tbl>
      <w:tblPr>
        <w:tblW w:w="9026" w:type="dxa"/>
        <w:tblInd w:w="567" w:type="dxa"/>
        <w:tblBorders>
          <w:top w:val="single" w:sz="4" w:space="0" w:color="auto"/>
          <w:bottom w:val="single" w:sz="4" w:space="0" w:color="auto"/>
        </w:tblBorders>
        <w:tblLayout w:type="fixed"/>
        <w:tblLook w:val="04A0" w:firstRow="1" w:lastRow="0" w:firstColumn="1" w:lastColumn="0" w:noHBand="0" w:noVBand="1"/>
      </w:tblPr>
      <w:tblGrid>
        <w:gridCol w:w="1800"/>
        <w:gridCol w:w="3600"/>
        <w:gridCol w:w="3626"/>
      </w:tblGrid>
      <w:tr>
        <w:trPr>
          <w:cantSplit/>
          <w:tblHeader/>
        </w:trPr>
        <w:tc>
          <w:tcPr>
            <w:tcW w:w="180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Aspek</w:t>
            </w:r>
          </w:p>
        </w:tc>
        <w:tc>
          <w:tcPr>
            <w:tcW w:w="360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Pasal 36 jo. Pasal 51 ayat (2) — dakwaan kesatu</w:t>
            </w:r>
          </w:p>
        </w:tc>
        <w:tc>
          <w:tcPr>
            <w:tcW w:w="3626"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Pasal 28 ayat (1) jo. Pasal 45A ayat (1) — dakwaan kedua</w:t>
            </w:r>
          </w:p>
        </w:tc>
      </w:tr>
      <w:tr>
        <w:trPr>
          <w:cantSplit/>
        </w:trPr>
        <w:tc>
          <w:tcPr>
            <w:tcW w:w="18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Kedudukan norma</w:t>
            </w:r>
          </w:p>
        </w:tc>
        <w:tc>
          <w:tcPr>
            <w:tcW w:w="36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Norma pemberatan karena akibat; tidak merumuskan perbuatan baru</w:t>
            </w:r>
          </w:p>
        </w:tc>
        <w:tc>
          <w:tcPr>
            <w:tcW w:w="36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Delik mandiri; rumusan unsurnya berdiri sendiri</w:t>
            </w:r>
          </w:p>
        </w:tc>
      </w:tr>
      <w:tr>
        <w:trPr>
          <w:cantSplit/>
        </w:trPr>
        <w:tc>
          <w:tcPr>
            <w:tcW w:w="18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Inti rumusan</w:t>
            </w:r>
          </w:p>
        </w:tc>
        <w:tc>
          <w:tcPr>
            <w:tcW w:w="36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Dengan sengaja dan tanpa hak atau melawan hukum melakukan perbuatan sebagaimana dimaksud dalam Pasal 27 sampai dengan Pasal 34 yang mengakibatkan kerugian bagi orang lain</w:t>
            </w:r>
          </w:p>
        </w:tc>
        <w:tc>
          <w:tcPr>
            <w:tcW w:w="36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Dengan sengaja dan tanpa hak menyebarkan berita bohong dan menyesatkan yang mengakibatkan kerugian konsumen dalam transaksi elektronik</w:t>
            </w:r>
          </w:p>
        </w:tc>
      </w:tr>
      <w:tr>
        <w:trPr>
          <w:cantSplit/>
        </w:trPr>
        <w:tc>
          <w:tcPr>
            <w:tcW w:w="18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Syarat penerapan</w:t>
            </w:r>
          </w:p>
        </w:tc>
        <w:tc>
          <w:tcPr>
            <w:tcW w:w="36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Harus dirangkaikan dengan salah satu perbuatan dalam Pasal 27 sampai Pasal 34</w:t>
            </w:r>
          </w:p>
        </w:tc>
        <w:tc>
          <w:tcPr>
            <w:tcW w:w="36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Dapat diterapkan secara berdiri sendiri tanpa pasal rujukan</w:t>
            </w:r>
          </w:p>
        </w:tc>
      </w:tr>
      <w:tr>
        <w:trPr>
          <w:cantSplit/>
        </w:trPr>
        <w:tc>
          <w:tcPr>
            <w:tcW w:w="18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Ancaman pidana</w:t>
            </w:r>
          </w:p>
        </w:tc>
        <w:tc>
          <w:tcPr>
            <w:tcW w:w="36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Penjara paling lama 12 tahun dan/atau denda paling banyak Rp12.000.000.000,00</w:t>
            </w:r>
          </w:p>
        </w:tc>
        <w:tc>
          <w:tcPr>
            <w:tcW w:w="36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Penjara paling lama 6 tahun dan/atau denda paling banyak Rp1.000.000.000,00</w:t>
            </w:r>
          </w:p>
        </w:tc>
      </w:tr>
      <w:tr>
        <w:trPr>
          <w:cantSplit/>
        </w:trPr>
        <w:tc>
          <w:tcPr>
            <w:tcW w:w="18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Pembagian ayat</w:t>
            </w:r>
          </w:p>
        </w:tc>
        <w:tc>
          <w:tcPr>
            <w:tcW w:w="36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Tidak memiliki pembagian ayat</w:t>
            </w:r>
          </w:p>
        </w:tc>
        <w:tc>
          <w:tcPr>
            <w:tcW w:w="36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Memiliki pembagian ayat</w:t>
            </w:r>
          </w:p>
        </w:tc>
      </w:tr>
    </w:tbl>
    <w:p>
      <w:pPr>
        <w:spacing w:before="60" w:after="180" w:line="240" w:lineRule="auto"/>
        <w:ind w:left="567" w:right="322"/>
        <w:jc w:val="left"/>
        <w:rPr>
          <w:rFonts w:ascii="Segoe UI" w:hAnsi="Segoe UI" w:cs="Segoe UI"/>
          <w:i/>
          <w:iCs/>
          <w:sz w:val="18"/>
          <w:szCs w:val="18"/>
        </w:rPr>
      </w:pPr>
      <w:r>
        <w:rPr>
          <w:rFonts w:ascii="Segoe UI" w:hAnsi="Segoe UI" w:cs="Segoe UI"/>
          <w:i/>
          <w:iCs/>
          <w:sz w:val="18"/>
          <w:szCs w:val="18"/>
        </w:rPr>
        <w:t xml:space="preserve">Sumber: Diolah dari UU No. 11 Tahun 2008 sebagaimana diubah dengan UU No. 19 Tahun 2016 dan Putusan Pengadilan Negeri Makassar Nomor 47/Pid.Sus/2024/PN Mks (2024)</w:t>
      </w:r>
    </w:p>
    <w:p>
      <w:pPr>
        <w:pStyle w:val="IEEEParagraph"/>
        <w:ind w:left="567" w:right="322" w:firstLine="567"/>
        <w:rPr>
          <w:rFonts w:ascii="Segoe UI" w:hAnsi="Segoe UI" w:cs="Segoe UI"/>
          <w:sz w:val="22"/>
          <w:szCs w:val="22"/>
        </w:rPr>
      </w:pPr>
      <w:r>
        <w:rPr>
          <w:rFonts w:ascii="Segoe UI" w:hAnsi="Segoe UI" w:cs="Segoe UI"/>
          <w:sz w:val="22"/>
          <w:szCs w:val="22"/>
        </w:rPr>
        <w:t xml:space="preserve">Menurut analisis penulis, Tabel 1 memperlihatkan bahwa penempatan Pasal 36 sebagai dakwaan lapis pertama menyisakan persoalan konstruksi. Ketentuan tersebut hanya dapat diterapkan apabila lebih dahulu ditentukan perbuatan terlarang mana yang dilakukan terdakwa, kemudian ditunjukkan bahwa perbuatan itu mengakibatkan kerugian bagi orang lain. Menuliskannya tanpa pasal rujukan berarti menghilangkan unsur penghubung yang justru menjadi ciri ketentuan itu, sehingga uraian dakwaan berpotensi tidak memenuhi syarat cermat, jelas, dan lengkap sebagaimana dimaksud Pasal 143 ayat (2) Undang-Undang Nomor 8 Tahun 1981.</w:t>
      </w:r>
    </w:p>
    <w:p>
      <w:pPr>
        <w:pStyle w:val="IEEEParagraph"/>
        <w:ind w:left="567" w:right="322" w:firstLine="567"/>
        <w:rPr>
          <w:rFonts w:ascii="Segoe UI" w:hAnsi="Segoe UI" w:cs="Segoe UI"/>
          <w:sz w:val="22"/>
          <w:szCs w:val="22"/>
        </w:rPr>
      </w:pPr>
      <w:r>
        <w:rPr>
          <w:rFonts w:ascii="Segoe UI" w:hAnsi="Segoe UI" w:cs="Segoe UI"/>
          <w:sz w:val="22"/>
          <w:szCs w:val="22"/>
        </w:rPr>
        <w:t xml:space="preserve">Terdapat pula persoalan penomoran yang perlu diluruskan. Dalam berkas perkara ketentuan tersebut ditulis sebagai Pasal 36 ayat (1), padahal ketentuan itu dirumuskan dalam satu paragraf utuh tanpa pembagian ayat. Kekeliruan semacam ini memang lazim dianggap bersifat teknis, tetapi pada ketentuan yang berkedudukan sebagai pemberatan, penambahan nomor ayat justru memperkuat kesan bahwa ketentuan itu berdiri sendiri sebagaimana pasal-pasal berayat lainnya. Secara yuridis, ketelitian penyebutan norma merupakan bagian dari kepastian hukum, sebab dakwaan menjadi dasar sekaligus batas pemeriksaan perkara.</w:t>
      </w:r>
    </w:p>
    <w:p>
      <w:pPr>
        <w:pStyle w:val="IEEEParagraph"/>
        <w:ind w:left="567" w:right="322" w:firstLine="567"/>
        <w:rPr>
          <w:rFonts w:ascii="Segoe UI" w:hAnsi="Segoe UI" w:cs="Segoe UI"/>
          <w:sz w:val="22"/>
          <w:szCs w:val="22"/>
        </w:rPr>
      </w:pPr>
      <w:r>
        <w:rPr>
          <w:rFonts w:ascii="Segoe UI" w:hAnsi="Segoe UI" w:cs="Segoe UI"/>
          <w:sz w:val="22"/>
          <w:szCs w:val="22"/>
        </w:rPr>
        <w:t xml:space="preserve">Meskipun demikian, pilihan bentuk alternatif itu sendiri dapat dipertanggungjawabkan. Kedua ketentuan sama-sama menjangkau perbuatan menyebarkan informasi tidak benar melalui sistem elektronik yang menimbulkan kerugian, sehingga penuntut umum memang berada dalam keadaan belum memperoleh keyakinan penuh mengenai kualifikasi yang paling tepat. Jika dikaitkan dengan sifat hukum pidana khusus yang tersebar di luar kodifikasi, keadaan demikian merupakan konsekuensi dari perumusan norma yang tidak seragam (Tongat, 2003). Yang menjadi catatan bukan bentuk dakwaannya, melainkan cara lapis pertamanya dirumuskan.</w:t>
      </w:r>
    </w:p>
    <w:p>
      <w:pPr>
        <w:pStyle w:val="IEEEParagraph"/>
        <w:ind w:left="567" w:right="322"/>
      </w:pPr>
    </w:p>
    <w:p>
      <w:pPr>
        <w:pStyle w:val="Heading2"/>
        <w:ind w:right="322"/>
        <w:rPr>
          <w:rStyle w:val="mediumtext"/>
        </w:rPr>
      </w:pPr>
      <w:r>
        <w:rPr>
          <w:rStyle w:val="mediumtext"/>
        </w:rPr>
        <w:t xml:space="preserve">3.2 Penerapan Pasal 36 dalam Pertimbangan Hakim dan Status Keberlakuannya</w:t>
      </w:r>
    </w:p>
    <w:p>
      <w:pPr>
        <w:pStyle w:val="IEEEParagraph"/>
        <w:ind w:left="567" w:right="322" w:firstLine="567"/>
        <w:rPr>
          <w:rFonts w:ascii="Segoe UI" w:hAnsi="Segoe UI" w:cs="Segoe UI"/>
          <w:sz w:val="22"/>
          <w:szCs w:val="22"/>
        </w:rPr>
      </w:pPr>
      <w:r>
        <w:rPr>
          <w:rFonts w:ascii="Segoe UI" w:hAnsi="Segoe UI" w:cs="Segoe UI"/>
          <w:sz w:val="22"/>
          <w:szCs w:val="22"/>
        </w:rPr>
        <w:t xml:space="preserve">Majelis hakim mengarahkan pertimbangannya pada dakwaan alternatif kesatu dan menguji tiga unsur, yaitu unsur barang siapa, unsur dengan sengaja dan tanpa hak atau melawan hukum, serta unsur melakukan perbuatan yang mengakibatkan kerugian bagi orang lain. Ketiganya dinilai terpenuhi berdasarkan keterangan saksi penyidik, keterangan saksi korban, keterangan terdakwa, dan barang bukti berupa telepon genggam yang digunakan menjalankan perbuatan. Majelis kemudian menyatakan terdakwa terbukti bersalah dan menjatuhkan pidana penjara tujuh bulan serta denda tujuh juta rupiah dengan ketentuan subsidiair. Tabel 2 menyandingkan penyebutan ketentuan pada tiap tahap perkara beserta status keberlakuannya.</w:t>
      </w:r>
    </w:p>
    <w:p>
      <w:pPr>
        <w:keepNext/>
        <w:keepLines/>
        <w:spacing w:before="120" w:after="60" w:line="240" w:lineRule="auto"/>
        <w:ind w:left="567" w:right="322"/>
        <w:jc w:val="left"/>
        <w:rPr>
          <w:rFonts w:ascii="Segoe UI" w:hAnsi="Segoe UI" w:cs="Segoe UI"/>
          <w:sz w:val="20"/>
          <w:szCs w:val="20"/>
        </w:rPr>
      </w:pPr>
      <w:r>
        <w:rPr>
          <w:rFonts w:ascii="Segoe UI" w:hAnsi="Segoe UI" w:cs="Segoe UI"/>
          <w:b/>
          <w:bCs/>
          <w:sz w:val="20"/>
          <w:szCs w:val="20"/>
        </w:rPr>
        <w:t xml:space="preserve">Tabel 2. </w:t>
      </w:r>
      <w:r>
        <w:rPr>
          <w:rFonts w:ascii="Segoe UI" w:hAnsi="Segoe UI" w:cs="Segoe UI"/>
          <w:sz w:val="20"/>
          <w:szCs w:val="20"/>
        </w:rPr>
        <w:t xml:space="preserve">Penyebutan Ketentuan pada Setiap Tahap Perkara dan Status Keberlakuannya</w:t>
      </w:r>
    </w:p>
    <w:tbl>
      <w:tblPr>
        <w:tblW w:w="9026" w:type="dxa"/>
        <w:tblInd w:w="567" w:type="dxa"/>
        <w:tblBorders>
          <w:top w:val="single" w:sz="4" w:space="0" w:color="auto"/>
          <w:bottom w:val="single" w:sz="4" w:space="0" w:color="auto"/>
        </w:tblBorders>
        <w:tblLayout w:type="fixed"/>
        <w:tblLook w:val="04A0" w:firstRow="1" w:lastRow="0" w:firstColumn="1" w:lastColumn="0" w:noHBand="0" w:noVBand="1"/>
      </w:tblPr>
      <w:tblGrid>
        <w:gridCol w:w="2200"/>
        <w:gridCol w:w="3300"/>
        <w:gridCol w:w="3526"/>
      </w:tblGrid>
      <w:tr>
        <w:trPr>
          <w:cantSplit/>
          <w:tblHeader/>
        </w:trPr>
        <w:tc>
          <w:tcPr>
            <w:tcW w:w="220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Tahap atau Aspek</w:t>
            </w:r>
          </w:p>
        </w:tc>
        <w:tc>
          <w:tcPr>
            <w:tcW w:w="330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Uraian</w:t>
            </w:r>
          </w:p>
        </w:tc>
        <w:tc>
          <w:tcPr>
            <w:tcW w:w="3526"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Catatan Yuridis</w:t>
            </w:r>
          </w:p>
        </w:tc>
      </w:tr>
      <w:tr>
        <w:trPr>
          <w:cantSplit/>
        </w:trPr>
        <w:tc>
          <w:tcPr>
            <w:tcW w:w="22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Surat dakwaan kesatu</w:t>
            </w:r>
          </w:p>
        </w:tc>
        <w:tc>
          <w:tcPr>
            <w:tcW w:w="33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Ditulis sebagai Pasal 36 ayat (1) juncto Pasal 51 ayat (2)</w:t>
            </w:r>
          </w:p>
        </w:tc>
        <w:tc>
          <w:tcPr>
            <w:tcW w:w="35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Pasal 36 tidak memiliki pembagian ayat dan tidak dirangkaikan dengan pasal rujukannya</w:t>
            </w:r>
          </w:p>
        </w:tc>
      </w:tr>
      <w:tr>
        <w:trPr>
          <w:cantSplit/>
        </w:trPr>
        <w:tc>
          <w:tcPr>
            <w:tcW w:w="22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Unsur yang diuji majelis</w:t>
            </w:r>
          </w:p>
        </w:tc>
        <w:tc>
          <w:tcPr>
            <w:tcW w:w="33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Barang siapa; dengan sengaja dan tanpa hak atau melawan hukum; melakukan perbuatan yang mengakibatkan kerugian bagi orang lain</w:t>
            </w:r>
          </w:p>
        </w:tc>
        <w:tc>
          <w:tcPr>
            <w:tcW w:w="35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Unsur penghubung berupa perbuatan sebagaimana dimaksud dalam Pasal 27 sampai Pasal 34 tidak diuji</w:t>
            </w:r>
          </w:p>
        </w:tc>
      </w:tr>
      <w:tr>
        <w:trPr>
          <w:cantSplit/>
        </w:trPr>
        <w:tc>
          <w:tcPr>
            <w:tcW w:w="22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Kualifikasi dalam amar</w:t>
            </w:r>
          </w:p>
        </w:tc>
        <w:tc>
          <w:tcPr>
            <w:tcW w:w="33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Mengikuti rumusan norma pemberatan tanpa menyebut perbuatan pokok yang diperberat</w:t>
            </w:r>
          </w:p>
        </w:tc>
        <w:tc>
          <w:tcPr>
            <w:tcW w:w="35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Ketentuan pemberatan diterapkan seolah-olah merupakan delik mandiri</w:t>
            </w:r>
          </w:p>
        </w:tc>
      </w:tr>
      <w:tr>
        <w:trPr>
          <w:cantSplit/>
        </w:trPr>
        <w:tc>
          <w:tcPr>
            <w:tcW w:w="22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Pidana yang dijatuhkan</w:t>
            </w:r>
          </w:p>
        </w:tc>
        <w:tc>
          <w:tcPr>
            <w:tcW w:w="33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7 bulan penjara dan denda Rp7.000.000,00 subsidiair 1 bulan penjara</w:t>
            </w:r>
          </w:p>
        </w:tc>
        <w:tc>
          <w:tcPr>
            <w:tcW w:w="35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Kurang dari lima persen dari ancaman pidana penjara maksimum</w:t>
            </w:r>
          </w:p>
        </w:tc>
      </w:tr>
      <w:tr>
        <w:trPr>
          <w:cantSplit/>
        </w:trPr>
        <w:tc>
          <w:tcPr>
            <w:tcW w:w="22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Status Pasal 36 sejak 2 Januari 2026</w:t>
            </w:r>
          </w:p>
        </w:tc>
        <w:tc>
          <w:tcPr>
            <w:tcW w:w="33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Termasuk ketentuan yang hanya berlaku sampai diberlakukannya KUHP Nasional</w:t>
            </w:r>
          </w:p>
        </w:tc>
        <w:tc>
          <w:tcPr>
            <w:tcW w:w="35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Pemberatan karena kerugian materiel telah diserap ke dalam kodifikasi pidana nasional</w:t>
            </w:r>
          </w:p>
        </w:tc>
      </w:tr>
      <w:tr>
        <w:trPr>
          <w:cantSplit/>
        </w:trPr>
        <w:tc>
          <w:tcPr>
            <w:tcW w:w="22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Status Pasal 28 ayat (1) jo. Pasal 45A ayat (1)</w:t>
            </w:r>
          </w:p>
        </w:tc>
        <w:tc>
          <w:tcPr>
            <w:tcW w:w="33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Tidak termasuk ketentuan yang dibatasi masa berlakunya</w:t>
            </w:r>
          </w:p>
        </w:tc>
        <w:tc>
          <w:tcPr>
            <w:tcW w:w="35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Tetap dapat diterapkan</w:t>
            </w:r>
          </w:p>
        </w:tc>
      </w:tr>
    </w:tbl>
    <w:p>
      <w:pPr>
        <w:spacing w:before="60" w:after="180" w:line="240" w:lineRule="auto"/>
        <w:ind w:left="567" w:right="322"/>
        <w:jc w:val="left"/>
        <w:rPr>
          <w:rFonts w:ascii="Segoe UI" w:hAnsi="Segoe UI" w:cs="Segoe UI"/>
          <w:i/>
          <w:iCs/>
          <w:sz w:val="18"/>
          <w:szCs w:val="18"/>
        </w:rPr>
      </w:pPr>
      <w:r>
        <w:rPr>
          <w:rFonts w:ascii="Segoe UI" w:hAnsi="Segoe UI" w:cs="Segoe UI"/>
          <w:i/>
          <w:iCs/>
          <w:sz w:val="18"/>
          <w:szCs w:val="18"/>
        </w:rPr>
        <w:t xml:space="preserve">Sumber: Diolah dari Putusan Pengadilan Negeri Makassar Nomor 47/Pid.Sus/2024/PN Mks (2024), UU No. 19 Tahun 2016, UU No. 1 Tahun 2023, dan UU No. 1 Tahun 2024</w:t>
      </w:r>
    </w:p>
    <w:p>
      <w:pPr>
        <w:pStyle w:val="IEEEParagraph"/>
        <w:ind w:left="567" w:right="322" w:firstLine="567"/>
        <w:rPr>
          <w:rFonts w:ascii="Segoe UI" w:hAnsi="Segoe UI" w:cs="Segoe UI"/>
          <w:sz w:val="22"/>
          <w:szCs w:val="22"/>
        </w:rPr>
      </w:pPr>
      <w:r>
        <w:rPr>
          <w:rFonts w:ascii="Segoe UI" w:hAnsi="Segoe UI" w:cs="Segoe UI"/>
          <w:sz w:val="22"/>
          <w:szCs w:val="22"/>
        </w:rPr>
        <w:t xml:space="preserve">Menurut analisis penulis, penilaian majelis mengenai terpenuhinya kesengajaan, ketiadaan hak, dan akibat kerugian sudah tepat karena fakta persidangan memang menunjukkan ketiganya. Persoalan justru terletak pada susunan unsur yang diuji. Rumusan Pasal 36 tidak berhenti pada frasa mengakibatkan kerugian bagi orang lain, melainkan mensyaratkan pula bahwa perbuatan tersebut merupakan perbuatan sebagaimana dimaksud dalam Pasal 27 sampai dengan Pasal 34. Unsur penghubung itu tidak muncul dalam pertimbangan maupun dalam amar, sehingga norma pemberatan diterapkan seolah-olah berkedudukan sebagai delik mandiri.</w:t>
      </w:r>
    </w:p>
    <w:p>
      <w:pPr>
        <w:pStyle w:val="IEEEParagraph"/>
        <w:ind w:left="567" w:right="322" w:firstLine="567"/>
        <w:rPr>
          <w:rFonts w:ascii="Segoe UI" w:hAnsi="Segoe UI" w:cs="Segoe UI"/>
          <w:sz w:val="22"/>
          <w:szCs w:val="22"/>
        </w:rPr>
      </w:pPr>
      <w:r>
        <w:rPr>
          <w:rFonts w:ascii="Segoe UI" w:hAnsi="Segoe UI" w:cs="Segoe UI"/>
          <w:sz w:val="22"/>
          <w:szCs w:val="22"/>
        </w:rPr>
        <w:t xml:space="preserve">Akibatnya bersifat berantai. Ketika unsur penghubung tidak diuji, perbuatan pokok yang diperberat pun tidak pernah ditetapkan, padahal justru penetapan itulah yang menentukan apakah pemberatan memang layak diterapkan. Konstruksi yang lebih utuh adalah menetapkan lebih dahulu perbuatan terlarang yang terbukti, kemudian menempatkan Pasal 36 sebagai lapisan berikutnya karena timbulnya kerugian. Dengan cara demikian seluruh unsur teruji dan bangunan penalaran putusan menjadi lengkap. Temuan ini memperlihatkan bahwa persoalan dalam perkara a quo bukan pada kesimpulan bersalahnya, melainkan pada jalan yang ditempuh untuk sampai ke sana.</w:t>
      </w:r>
    </w:p>
    <w:p>
      <w:pPr>
        <w:pStyle w:val="IEEEParagraph"/>
        <w:ind w:left="567" w:right="322" w:firstLine="567"/>
        <w:rPr>
          <w:rFonts w:ascii="Segoe UI" w:hAnsi="Segoe UI" w:cs="Segoe UI"/>
          <w:sz w:val="22"/>
          <w:szCs w:val="22"/>
        </w:rPr>
      </w:pPr>
      <w:r>
        <w:rPr>
          <w:rFonts w:ascii="Segoe UI" w:hAnsi="Segoe UI" w:cs="Segoe UI"/>
          <w:sz w:val="22"/>
          <w:szCs w:val="22"/>
        </w:rPr>
        <w:t xml:space="preserve">Persoalan ini bukan sekadar soal kerapian penulisan pasal. Ketentuan pemberatan diadakan justru untuk membedakan derajat kesalahan: pelaku yang perbuatannya menimbulkan kerugian diperlakukan lebih berat daripada pelaku yang perbuatannya tidak menimbulkan akibat demikian. Pembedaan derajat itu merupakan bagian dari stelsel pidana yang menuntut kecermatan dalam menakar kesalahan (Chazawi, 2011). Ketika perbuatan pokoknya tidak ditetapkan, pembedaan tersebut kehilangan pijakan, sebab tidak ada titik acuan yang darinya pemberatan dihitung. Akibatnya ancaman pidana dua belas tahun diterapkan tanpa lebih dahulu diketahui berapa ancaman pidana perbuatan yang diperberat itu.</w:t>
      </w:r>
    </w:p>
    <w:p>
      <w:pPr>
        <w:pStyle w:val="IEEEParagraph"/>
        <w:ind w:left="567" w:right="322" w:firstLine="567"/>
        <w:rPr>
          <w:rFonts w:ascii="Segoe UI" w:hAnsi="Segoe UI" w:cs="Segoe UI"/>
          <w:sz w:val="22"/>
          <w:szCs w:val="22"/>
        </w:rPr>
      </w:pPr>
      <w:r>
        <w:rPr>
          <w:rFonts w:ascii="Segoe UI" w:hAnsi="Segoe UI" w:cs="Segoe UI"/>
          <w:sz w:val="22"/>
          <w:szCs w:val="22"/>
        </w:rPr>
        <w:t xml:space="preserve">Persoalan berikutnya menyangkut berat pidana. Jika dikaitkan dengan teori tujuan hukum, putusan harus menyeimbangkan keadilan, kepastian hukum, dan kemanfaatan; sedangkan dari perspektif teori pemidanaan, pidana diharapkan menimbulkan pencegahan baik terhadap pelaku maupun terhadap masyarakat luas (Prasetyo, 2014). Pidana penjara tujuh bulan berada jauh di bawah ancaman maksimum dua belas tahun pada ketentuan yang diterapkan. Hakim memang memiliki kemerdekaan menentukan berat pidana sepanjang tidak melampaui ancaman maksimum, dan ketentuan tersebut tidak memuat ancaman minimum khusus. Akan tetapi kemerdekaan itu menuntut pertanggungjawaban argumentatif, terlebih ketika majelis sendiri menempatkan kerugian korban sebagai keadaan yang memberatkan. Argumentasi penulis karenanya bukan bahwa pidana harus mendekati ancaman maksimum, melainkan bahwa selisih sebesar itu menuntut penjelasan yang tidak ditemukan dalam pertimbangan.</w:t>
      </w:r>
    </w:p>
    <w:p>
      <w:pPr>
        <w:pStyle w:val="IEEEParagraph"/>
        <w:ind w:left="567" w:right="322" w:firstLine="567"/>
        <w:rPr>
          <w:rFonts w:ascii="Segoe UI" w:hAnsi="Segoe UI" w:cs="Segoe UI"/>
          <w:sz w:val="22"/>
          <w:szCs w:val="22"/>
        </w:rPr>
      </w:pPr>
      <w:r>
        <w:rPr>
          <w:rFonts w:ascii="Segoe UI" w:hAnsi="Segoe UI" w:cs="Segoe UI"/>
          <w:sz w:val="22"/>
          <w:szCs w:val="22"/>
        </w:rPr>
        <w:t xml:space="preserve">Dari perspektif transisional, temuan tersebut memperoleh penegasan yang tidak terduga. Pasal II Undang-Undang Nomor 1 Tahun 2024 menentukan bahwa sejumlah ketentuan dalam undang-undang informasi dan transaksi elektronik, termasuk ketentuan pemberatan yang dikaji, hanya berlaku sampai dengan diberlakukannya Undang-Undang Nomor 1 Tahun 2023. Sejak 2 Januari 2026 ketentuan itu tidak lagi menjadi dasar pemidanaan karena pemberatan akibat kerugian materiel telah diserap ke dalam kodifikasi pidana nasional. Sebaliknya, delik mandiri yang didakwakan sebagai alternatif kedua tidak termasuk ketentuan yang dibatasi masa berlakunya sehingga tetap dapat diterapkan.</w:t>
      </w:r>
    </w:p>
    <w:p>
      <w:pPr>
        <w:pStyle w:val="IEEEParagraph"/>
        <w:ind w:left="567" w:right="322" w:firstLine="567"/>
        <w:rPr>
          <w:rFonts w:ascii="Segoe UI" w:hAnsi="Segoe UI" w:cs="Segoe UI"/>
          <w:sz w:val="22"/>
          <w:szCs w:val="22"/>
        </w:rPr>
      </w:pPr>
      <w:r>
        <w:rPr>
          <w:rFonts w:ascii="Segoe UI" w:hAnsi="Segoe UI" w:cs="Segoe UI"/>
          <w:sz w:val="22"/>
          <w:szCs w:val="22"/>
        </w:rPr>
        <w:t xml:space="preserve">Secara keseluruhan, kedudukan Pasal 36 sebagai norma pemberatan dan berakhirnya masa berlakunya menuntun pada satu simpulan praktis. Pola penerapan yang menempatkan ketentuan pemberatan sebagai lapis pertama dakwaan dalam perkara penipuan daring tidak lagi dapat diulang, sehingga penuntut umum dituntut menetapkan perbuatan pokok yang dilarang sebagai titik tolak dakwaan. Kebutuhan itu sesungguhnya sudah ada sejak semula, sebab kedudukan ketentuan tersebut memang tidak pernah berubah; yang berubah hanyalah bahwa kekeliruan memperlakukannya sebagai delik mandiri kini tidak mungkin lagi terjadi karena ketentuannya sendiri telah tiada.</w:t>
      </w:r>
    </w:p>
    <w:p w14:paraId="17E3A12B" w14:textId="5E31EBBF" w:rsidR="001E0508" w:rsidRPr="00EA7E75" w:rsidRDefault="00985560" w:rsidP="00985560">
      <w:pPr>
        <w:pStyle w:val="Heading3"/>
        <w:ind w:left="993" w:hanging="426"/>
      </w:pPr>
      <w:r>
        <w:t>KESIMPULAN</w:t>
      </w:r>
    </w:p>
    <w:p>
      <w:pPr>
        <w:pStyle w:val="IEEEParagraph"/>
        <w:ind w:left="567" w:right="322" w:firstLine="567"/>
        <w:rPr>
          <w:rFonts w:ascii="Segoe UI" w:hAnsi="Segoe UI" w:cs="Segoe UI"/>
          <w:sz w:val="22"/>
          <w:szCs w:val="22"/>
        </w:rPr>
      </w:pPr>
      <w:r>
        <w:rPr>
          <w:rFonts w:ascii="Segoe UI" w:hAnsi="Segoe UI" w:cs="Segoe UI"/>
          <w:sz w:val="22"/>
          <w:szCs w:val="22"/>
        </w:rPr>
        <w:t xml:space="preserve">Dakwaan penuntut umum dalam Putusan Pengadilan Negeri Makassar Nomor 47/Pid.Sus/2024/PN Mks disusun dalam bentuk alternatif, dengan Pasal 36 juncto Pasal 51 ayat (2) sebagai dakwaan kesatu dan Pasal 28 ayat (1) juncto Pasal 45A ayat (1) Undang-Undang Informasi dan Transaksi Elektronik sebagai dakwaan kedua. Pemilihan bentuk alternatif dapat dipertanggungjawabkan karena kedua ketentuan sama-sama menjangkau perbuatan menyebarkan informasi tidak benar melalui sistem elektronik yang menimbulkan kerugian. Akan tetapi perumusan dakwaan kesatu menyisakan dua persoalan. Pertama, Pasal 36 berkedudukan sebagai norma pemberatan dan bukan delik mandiri, sebab rumusannya secara tegas menunjuk pada perbuatan sebagaimana dimaksud dalam Pasal 27 sampai dengan Pasal 34, sehingga penerapannya menuntut perangkaian dengan pasal rujukan yang tidak dicantumkan. Kedua, ketentuan tersebut ditulis sebagai pasal berayat padahal dirumuskan dalam satu paragraf utuh tanpa pembagian ayat.</w:t>
      </w:r>
    </w:p>
    <w:p>
      <w:pPr>
        <w:pStyle w:val="IEEEParagraph"/>
        <w:ind w:left="567" w:right="322" w:firstLine="567"/>
        <w:rPr>
          <w:rFonts w:ascii="Segoe UI" w:hAnsi="Segoe UI" w:cs="Segoe UI"/>
          <w:sz w:val="22"/>
          <w:szCs w:val="22"/>
        </w:rPr>
      </w:pPr>
      <w:r>
        <w:rPr>
          <w:rFonts w:ascii="Segoe UI" w:hAnsi="Segoe UI" w:cs="Segoe UI"/>
          <w:sz w:val="22"/>
          <w:szCs w:val="22"/>
        </w:rPr>
        <w:t xml:space="preserve">Pertimbangan hukum majelis hakim diarahkan pada dakwaan alternatif kesatu dengan menguji tiga unsur, dan penilaian mengenai kesengajaan, ketiadaan hak, serta akibat kerugian telah sesuai dengan fakta persidangan. Meskipun demikian, pertimbangan tersebut tidak menguji unsur penghubung yang mensyaratkan bahwa perbuatan terdakwa merupakan perbuatan sebagaimana dimaksud dalam Pasal 27 sampai dengan Pasal 34, sehingga norma pemberatan diterapkan seolah-olah merupakan delik mandiri dan perbuatan pokok yang diperberat tidak pernah ditetapkan. Pidana penjara tujuh bulan yang dijatuhkan juga berada jauh di bawah ancaman maksimum dua belas tahun tanpa disertai penjelasan yang menghubungkan berat pidana itu dengan keadaan memberatkan berupa kerugian korban yang diakui majelis sendiri. Sejak 2 Januari 2026 ketentuan pemberatan tersebut tidak lagi berlaku karena telah diserap ke dalam kodifikasi pidana nasional, sedangkan ketentuan yang didakwakan sebagai alternatif kedua tetap berlaku.</w:t>
      </w:r>
    </w:p>
    <w:p>
      <w:pPr>
        <w:pStyle w:val="IEEEParagraph"/>
        <w:ind w:left="567" w:right="322" w:firstLine="567"/>
        <w:rPr>
          <w:rFonts w:ascii="Segoe UI" w:hAnsi="Segoe UI" w:cs="Segoe UI"/>
          <w:sz w:val="22"/>
          <w:szCs w:val="22"/>
        </w:rPr>
      </w:pPr>
      <w:r>
        <w:rPr>
          <w:rFonts w:ascii="Segoe UI" w:hAnsi="Segoe UI" w:cs="Segoe UI"/>
          <w:sz w:val="22"/>
          <w:szCs w:val="22"/>
        </w:rPr>
        <w:t xml:space="preserve">Berdasarkan temuan tersebut, penulis menyarankan agar penuntut umum menyusun dakwaan pada perkara penipuan daring dengan lebih dahulu menetapkan perbuatan pokok yang dilarang, kemudian menempatkan ketentuan pemberatan sebagai lapisan berikutnya apabila memang diperlukan, sehingga seluruh unsur dapat diuji secara utuh di persidangan. Ketelitian penyebutan nomor pasal dan ayat juga perlu dijaga karena merupakan bagian dari kepastian hukum. Bagi hakim, pertimbangan pemidanaan perlu menguraikan secara eksplisit hubungan antara keadaan memberatkan yang diakui dan berat pidana yang dijatuhkan, agar selisih terhadap ancaman maksimum tidak menimbulkan kesan pemidanaan yang tidak proporsional. Adapun bagi pengembangan ilmu, penelitian lanjutan disarankan memetakan bagaimana ketentuan pemberatan dalam undang-undang pidana khusus lain diterapkan dalam praktik, serta bagaimana penyerapannya ke dalam kodifikasi pidana nasional memengaruhi konstruksi dakwaan pada perkara sejenis.</w:t>
      </w:r>
    </w:p>
    <w:p w14:paraId="310B877E" w14:textId="77777777" w:rsidR="001E0508" w:rsidRPr="00EA7E75" w:rsidRDefault="001E0508" w:rsidP="001E0508">
      <w:pPr>
        <w:pStyle w:val="IEEEHeading1"/>
        <w:numPr>
          <w:ilvl w:val="0"/>
          <w:numId w:val="0"/>
        </w:numPr>
        <w:ind w:firstLine="567"/>
        <w:jc w:val="both"/>
        <w:rPr>
          <w:rFonts w:ascii="Segoe UI" w:hAnsi="Segoe UI" w:cs="Segoe UI"/>
          <w:b/>
          <w:bCs/>
          <w:sz w:val="24"/>
          <w:lang w:val="sv-SE"/>
        </w:rPr>
      </w:pPr>
      <w:r>
        <w:rPr>
          <w:rFonts w:ascii="Segoe UI" w:hAnsi="Segoe UI" w:cs="Segoe UI"/>
          <w:b/>
          <w:bCs/>
          <w:sz w:val="24"/>
          <w:lang w:val="sv-SE"/>
        </w:rPr>
        <w:t>Referensi</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Arief, B. N. (2007). </w:t>
      </w:r>
      <w:r>
        <w:rPr>
          <w:rFonts w:cs="Segoe UI"/>
          <w:sz w:val="20"/>
          <w:szCs w:val="20"/>
          <w:i/>
          <w:iCs/>
        </w:rPr>
        <w:t xml:space="preserve">Tindak pidana mayantara: Perkembangan kajian cyber crime di Indonesia</w:t>
      </w:r>
      <w:r>
        <w:rPr>
          <w:rFonts w:cs="Segoe UI"/>
          <w:sz w:val="20"/>
          <w:szCs w:val="20"/>
        </w:rPr>
        <w:t xml:space="preserve">. RajaGrafindo Persada.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Chazawi, A. (2011). </w:t>
      </w:r>
      <w:r>
        <w:rPr>
          <w:rFonts w:cs="Segoe UI"/>
          <w:sz w:val="20"/>
          <w:szCs w:val="20"/>
          <w:i/>
          <w:iCs/>
        </w:rPr>
        <w:t xml:space="preserve">Pelajaran hukum pidana bagian 1</w:t>
      </w:r>
      <w:r>
        <w:rPr>
          <w:rFonts w:cs="Segoe UI"/>
          <w:sz w:val="20"/>
          <w:szCs w:val="20"/>
        </w:rPr>
        <w:t xml:space="preserve">. RajaGrafindo Persada.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Ekaputra, M. (2015). </w:t>
      </w:r>
      <w:r>
        <w:rPr>
          <w:rFonts w:cs="Segoe UI"/>
          <w:sz w:val="20"/>
          <w:szCs w:val="20"/>
          <w:i/>
          <w:iCs/>
        </w:rPr>
        <w:t xml:space="preserve">Dasar-dasar hukum pidana</w:t>
      </w:r>
      <w:r>
        <w:rPr>
          <w:rFonts w:cs="Segoe UI"/>
          <w:sz w:val="20"/>
          <w:szCs w:val="20"/>
        </w:rPr>
        <w:t xml:space="preserve">. USU Press.</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Hamzah, A. (2008). </w:t>
      </w:r>
      <w:r>
        <w:rPr>
          <w:rFonts w:cs="Segoe UI"/>
          <w:sz w:val="20"/>
          <w:szCs w:val="20"/>
          <w:i/>
          <w:iCs/>
        </w:rPr>
        <w:t xml:space="preserve">Asas-asas hukum pidana</w:t>
      </w:r>
      <w:r>
        <w:rPr>
          <w:rFonts w:cs="Segoe UI"/>
          <w:sz w:val="20"/>
          <w:szCs w:val="20"/>
        </w:rPr>
        <w:t xml:space="preserve">. Rineka Cipta.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Ilyas, A. (2012). </w:t>
      </w:r>
      <w:r>
        <w:rPr>
          <w:rFonts w:cs="Segoe UI"/>
          <w:sz w:val="20"/>
          <w:szCs w:val="20"/>
          <w:i/>
          <w:iCs/>
        </w:rPr>
        <w:t xml:space="preserve">Asas-asas hukum pidana</w:t>
      </w:r>
      <w:r>
        <w:rPr>
          <w:rFonts w:cs="Segoe UI"/>
          <w:sz w:val="20"/>
          <w:szCs w:val="20"/>
        </w:rPr>
        <w:t xml:space="preserve">. Rangkang Education.</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Maskun. (2013). </w:t>
      </w:r>
      <w:r>
        <w:rPr>
          <w:rFonts w:cs="Segoe UI"/>
          <w:sz w:val="20"/>
          <w:szCs w:val="20"/>
          <w:i/>
          <w:iCs/>
        </w:rPr>
        <w:t xml:space="preserve">Kejahatan siber (cyber crime): Suatu pengantar</w:t>
      </w:r>
      <w:r>
        <w:rPr>
          <w:rFonts w:cs="Segoe UI"/>
          <w:sz w:val="20"/>
          <w:szCs w:val="20"/>
        </w:rPr>
        <w:t xml:space="preserve">. Kencana Prenada Media Group.</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Maskun, &amp; Meilarati, W. (2017). </w:t>
      </w:r>
      <w:r>
        <w:rPr>
          <w:rFonts w:cs="Segoe UI"/>
          <w:sz w:val="20"/>
          <w:szCs w:val="20"/>
          <w:i/>
          <w:iCs/>
        </w:rPr>
        <w:t xml:space="preserve">Aspek hukum penipuan berbasis internet</w:t>
      </w:r>
      <w:r>
        <w:rPr>
          <w:rFonts w:cs="Segoe UI"/>
          <w:sz w:val="20"/>
          <w:szCs w:val="20"/>
        </w:rPr>
        <w:t xml:space="preserve">. Keni Media.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Prasetyo, T. (2014). </w:t>
      </w:r>
      <w:r>
        <w:rPr>
          <w:rFonts w:cs="Segoe UI"/>
          <w:sz w:val="20"/>
          <w:szCs w:val="20"/>
          <w:i/>
          <w:iCs/>
        </w:rPr>
        <w:t xml:space="preserve">Hukum pidana</w:t>
      </w:r>
      <w:r>
        <w:rPr>
          <w:rFonts w:cs="Segoe UI"/>
          <w:sz w:val="20"/>
          <w:szCs w:val="20"/>
        </w:rPr>
        <w:t xml:space="preserve">. Rajawali Pers.</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Sadiki, A. (2005). </w:t>
      </w:r>
      <w:r>
        <w:rPr>
          <w:rFonts w:cs="Segoe UI"/>
          <w:sz w:val="20"/>
          <w:szCs w:val="20"/>
          <w:i/>
          <w:iCs/>
        </w:rPr>
        <w:t xml:space="preserve">Kejahatan mayantara (cyber crime)</w:t>
      </w:r>
      <w:r>
        <w:rPr>
          <w:rFonts w:cs="Segoe UI"/>
          <w:sz w:val="20"/>
          <w:szCs w:val="20"/>
        </w:rPr>
        <w:t xml:space="preserve">. Refika Aditama.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Sitompul, J. (2012). </w:t>
      </w:r>
      <w:r>
        <w:rPr>
          <w:rFonts w:cs="Segoe UI"/>
          <w:sz w:val="20"/>
          <w:szCs w:val="20"/>
          <w:i/>
          <w:iCs/>
        </w:rPr>
        <w:t xml:space="preserve">Cyberspace, cybercrimes, cyberlaw: Tinjauan aspek hukum pidana</w:t>
      </w:r>
      <w:r>
        <w:rPr>
          <w:rFonts w:cs="Segoe UI"/>
          <w:sz w:val="20"/>
          <w:szCs w:val="20"/>
        </w:rPr>
        <w:t xml:space="preserve">. Tatanusa.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Sulistia, T., &amp; Zurnetti, A. (2012). </w:t>
      </w:r>
      <w:r>
        <w:rPr>
          <w:rFonts w:cs="Segoe UI"/>
          <w:sz w:val="20"/>
          <w:szCs w:val="20"/>
          <w:i/>
          <w:iCs/>
        </w:rPr>
        <w:t xml:space="preserve">Hukum pidana: Horizon baru pasca reformasi</w:t>
      </w:r>
      <w:r>
        <w:rPr>
          <w:rFonts w:cs="Segoe UI"/>
          <w:sz w:val="20"/>
          <w:szCs w:val="20"/>
        </w:rPr>
        <w:t xml:space="preserve">. RajaGrafindo Persada.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Suseno, S. (2012). </w:t>
      </w:r>
      <w:r>
        <w:rPr>
          <w:rFonts w:cs="Segoe UI"/>
          <w:sz w:val="20"/>
          <w:szCs w:val="20"/>
          <w:i/>
          <w:iCs/>
        </w:rPr>
        <w:t xml:space="preserve">Yurisdiksi tindak pidana siber</w:t>
      </w:r>
      <w:r>
        <w:rPr>
          <w:rFonts w:cs="Segoe UI"/>
          <w:sz w:val="20"/>
          <w:szCs w:val="20"/>
        </w:rPr>
        <w:t xml:space="preserve">. Refika Aditama.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Syarief, E., dkk. (2015). Analisis terhadap tindak pidana penipuan pada transaksi jual-beli online di Kota Batam. </w:t>
      </w:r>
      <w:r>
        <w:rPr>
          <w:rFonts w:cs="Segoe UI"/>
          <w:sz w:val="20"/>
          <w:szCs w:val="20"/>
          <w:i/>
          <w:iCs/>
        </w:rPr>
        <w:t xml:space="preserve">Journal of Judicial Review, 17</w:t>
      </w:r>
      <w:r>
        <w:rPr>
          <w:rFonts w:cs="Segoe UI"/>
          <w:sz w:val="20"/>
          <w:szCs w:val="20"/>
        </w:rPr>
        <w:t xml:space="preserve">(1), 1–20.</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Tongat. (2003). </w:t>
      </w:r>
      <w:r>
        <w:rPr>
          <w:rFonts w:cs="Segoe UI"/>
          <w:sz w:val="20"/>
          <w:szCs w:val="20"/>
          <w:i/>
          <w:iCs/>
        </w:rPr>
        <w:t xml:space="preserve">Hukum pidana materiil</w:t>
      </w:r>
      <w:r>
        <w:rPr>
          <w:rFonts w:cs="Segoe UI"/>
          <w:sz w:val="20"/>
          <w:szCs w:val="20"/>
        </w:rPr>
        <w:t xml:space="preserve">. UMM Press.</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Widodo. (2011). </w:t>
      </w:r>
      <w:r>
        <w:rPr>
          <w:rFonts w:cs="Segoe UI"/>
          <w:sz w:val="20"/>
          <w:szCs w:val="20"/>
          <w:i/>
          <w:iCs/>
        </w:rPr>
        <w:t xml:space="preserve">Hukum pidana di bidang teknologi informasi (cybercrime law): Telaah teoritik dan bedah kasus</w:t>
      </w:r>
      <w:r>
        <w:rPr>
          <w:rFonts w:cs="Segoe UI"/>
          <w:sz w:val="20"/>
          <w:szCs w:val="20"/>
        </w:rPr>
        <w:t xml:space="preserve">. Aswaja Pressindo.</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Putusan Pengadilan Negeri Makassar Nomor 47/Pid.Sus/2024/PN Mks (2024).</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Kitab Undang-Undang Hukum Pidana.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8 Tahun 1981 tentang Hukum Acara Pidana.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11 Tahun 2008 tentang Informasi dan Transaksi Elektronik.</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19 Tahun 2016 tentang Perubahan atas Undang-Undang Nomor 11 Tahun 2008 tentang Informasi dan Transaksi Elektronik.</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1 Tahun 2023 tentang Kitab Undang-Undang Hukum Pidana.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1 Tahun 2024 tentang Perubahan Kedua atas Undang-Undang Nomor 11 Tahun 2008 tentang Informasi dan Transaksi Elektronik.</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20 Tahun 2025 tentang Kitab Undang-Undang Hukum Acara Pidana.</w:t>
      </w:r>
    </w:p>
    <w:p w14:paraId="5E84CDA2" w14:textId="24799592" w:rsidR="003A4408" w:rsidRPr="003A4408" w:rsidRDefault="003A4408" w:rsidP="003A4408">
      <w:pPr>
        <w:spacing w:line="240" w:lineRule="auto"/>
        <w:ind w:left="1418" w:right="645" w:hanging="851"/>
        <w:rPr>
          <w:rFonts w:cs="Segoe UI"/>
        </w:rPr>
      </w:pPr>
      <w:r>
        <w:rPr>
          <w:rFonts w:cs="Segoe UI"/>
        </w:rPr>
        <w:fldChar w:fldCharType="end"/>
      </w:r>
    </w:p>
    <w:sectPr w:rsidR="003A4408" w:rsidRPr="003A4408"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F5A0F" w14:textId="77777777" w:rsidR="007B39CF" w:rsidRDefault="007B39CF" w:rsidP="009B0AF6">
      <w:pPr>
        <w:spacing w:after="0" w:line="240" w:lineRule="auto"/>
      </w:pPr>
      <w:r>
        <w:separator/>
      </w:r>
    </w:p>
  </w:endnote>
  <w:endnote w:type="continuationSeparator" w:id="0">
    <w:p w14:paraId="018179EC" w14:textId="77777777" w:rsidR="007B39CF" w:rsidRDefault="007B39CF"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77CDAE4" w14:textId="2CC26036"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1E0508" w:rsidRPr="00950641">
          <w:rPr>
            <w:rFonts w:cs="Segoe UI"/>
            <w:noProof/>
            <w:sz w:val="18"/>
            <w:szCs w:val="18"/>
            <w:lang w:val="fi-FI"/>
          </w:rPr>
          <w:t>Irvandi Demma Tande</w:t>
        </w:r>
      </w:p>
      <w:p w14:paraId="0CF919DE" w14:textId="5F133840"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F0FEE" w14:textId="77777777" w:rsidR="007B39CF" w:rsidRDefault="007B39CF" w:rsidP="009B0AF6">
      <w:pPr>
        <w:spacing w:after="0" w:line="240" w:lineRule="auto"/>
      </w:pPr>
      <w:r>
        <w:separator/>
      </w:r>
    </w:p>
  </w:footnote>
  <w:footnote w:type="continuationSeparator" w:id="0">
    <w:p w14:paraId="15167E39" w14:textId="77777777" w:rsidR="007B39CF" w:rsidRDefault="007B39CF"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C4B0" w14:textId="7C2A82EB"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257B" w14:textId="40673AD6"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3"/>
  </w:num>
  <w:num w:numId="2" w16cid:durableId="1655797796">
    <w:abstractNumId w:val="4"/>
  </w:num>
  <w:num w:numId="3" w16cid:durableId="1178079948">
    <w:abstractNumId w:val="2"/>
  </w:num>
  <w:num w:numId="4" w16cid:durableId="1530794457">
    <w:abstractNumId w:val="0"/>
  </w:num>
  <w:num w:numId="5" w16cid:durableId="18436176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50179"/>
    <w:rsid w:val="00471F0C"/>
    <w:rsid w:val="00476608"/>
    <w:rsid w:val="004865A9"/>
    <w:rsid w:val="00491740"/>
    <w:rsid w:val="004B7C52"/>
    <w:rsid w:val="00521D13"/>
    <w:rsid w:val="005362BB"/>
    <w:rsid w:val="00550BFE"/>
    <w:rsid w:val="00581638"/>
    <w:rsid w:val="00587FB4"/>
    <w:rsid w:val="0059044B"/>
    <w:rsid w:val="005B7859"/>
    <w:rsid w:val="005C6A72"/>
    <w:rsid w:val="005D710E"/>
    <w:rsid w:val="005E1485"/>
    <w:rsid w:val="00613274"/>
    <w:rsid w:val="006269EE"/>
    <w:rsid w:val="00633241"/>
    <w:rsid w:val="006658E1"/>
    <w:rsid w:val="00676A1B"/>
    <w:rsid w:val="006F0069"/>
    <w:rsid w:val="006F20C0"/>
    <w:rsid w:val="0071791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66359"/>
    <w:rsid w:val="00886EB8"/>
    <w:rsid w:val="00891C46"/>
    <w:rsid w:val="008A53F7"/>
    <w:rsid w:val="008B13FE"/>
    <w:rsid w:val="00935A9E"/>
    <w:rsid w:val="00942C5B"/>
    <w:rsid w:val="00950641"/>
    <w:rsid w:val="00955050"/>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8692C"/>
    <w:rsid w:val="00A93261"/>
    <w:rsid w:val="00AA1DA5"/>
    <w:rsid w:val="00AC334E"/>
    <w:rsid w:val="00AD7C4B"/>
    <w:rsid w:val="00B0079C"/>
    <w:rsid w:val="00B024E4"/>
    <w:rsid w:val="00B34841"/>
    <w:rsid w:val="00B34CDD"/>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E0180"/>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E02EE7"/>
    <w:rsid w:val="00E05BB1"/>
    <w:rsid w:val="00E109A4"/>
    <w:rsid w:val="00E3722F"/>
    <w:rsid w:val="00E37C1B"/>
    <w:rsid w:val="00E538A0"/>
    <w:rsid w:val="00E854CC"/>
    <w:rsid w:val="00EA7010"/>
    <w:rsid w:val="00EA7E75"/>
    <w:rsid w:val="00EB308B"/>
    <w:rsid w:val="00ED73C9"/>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912F9"/>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espondensi@email.com"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4591</Words>
  <Characters>26169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Dr. Johannes Baptista Halik,SE.,MM.,CDM</cp:lastModifiedBy>
  <cp:revision>4</cp:revision>
  <cp:lastPrinted>2023-04-17T18:59:00Z</cp:lastPrinted>
  <dcterms:created xsi:type="dcterms:W3CDTF">2026-01-24T05:16:00Z</dcterms:created>
  <dcterms:modified xsi:type="dcterms:W3CDTF">2026-01-24T05:29:00Z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