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Humanesia Pascasarjana</w:t>
      </w:r>
    </w:p>
    <w:p w14:paraId="5199D495" w14:textId="2F27610F" w:rsidR="00AD7C4B" w:rsidRDefault="003A4408" w:rsidP="003A4408">
      <w:pPr>
        <w:spacing w:after="0" w:line="240" w:lineRule="auto"/>
        <w:jc w:val="center"/>
        <w:rPr>
          <w:rFonts w:cs="Segoe UI"/>
          <w:b/>
          <w:sz w:val="16"/>
          <w:szCs w:val="16"/>
        </w:rPr>
      </w:pPr>
      <w:r>
        <w:rPr>
          <w:rFonts w:cs="Segoe UI"/>
          <w:b/>
          <w:sz w:val="16"/>
          <w:szCs w:val="16"/>
        </w:rPr>
        <w:t xml:space="preserve">(Humaniora, Ekonomi, Bisnis, Manajemen, Hukum dan Sosiologi)</w:t>
      </w:r>
    </w:p>
    <w:p w14:paraId="3F128BA9" w14:textId="0ED6C639" w:rsidR="0010607A" w:rsidRDefault="00886EB8" w:rsidP="00E109A4">
      <w:pPr>
        <w:spacing w:after="0" w:line="240" w:lineRule="auto"/>
        <w:jc w:val="center"/>
        <w:rPr>
          <w:rFonts w:cs="Segoe UI"/>
          <w:b/>
        </w:rPr>
      </w:pPr>
      <w:r>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29B526" w14:textId="0137736E"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Penggelapan dalam Jabatan Bermotif Judi Daring dan Celah Pengendalian Internal Perusahaan</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fi-FI"/>
        </w:rPr>
        <w:t xml:space="preserve">I Wayan Dada Yogiantara</w:t>
      </w:r>
      <w:r>
        <w:rPr>
          <w:rFonts w:cs="Segoe UI"/>
          <w:b/>
          <w:bCs/>
          <w:sz w:val="24"/>
          <w:szCs w:val="24"/>
          <w:lang w:val="fi-FI"/>
          <w:vertAlign w:val="superscript"/>
        </w:rPr>
        <w:t>1</w:t>
      </w:r>
      <w:r>
        <w:rPr>
          <w:rFonts w:cs="Segoe UI"/>
          <w:b/>
          <w:bCs/>
          <w:sz w:val="24"/>
          <w:szCs w:val="24"/>
          <w:lang w:val="fi-FI"/>
        </w:rPr>
        <w:t>*</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r>
        <w:rPr>
          <w:rFonts w:cs="Segoe UI"/>
          <w:i/>
          <w:sz w:val="18"/>
          <w:szCs w:val="18"/>
          <w:lang w:val="en-US"/>
        </w:rPr>
        <w:t xml:space="preserve">wayan@ukipaulus.ac.id (Korespondensi)*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 xml:space="preserve">embezzlement in employment, subsidiary indictment, online gambling, internal control, loss recovery, penal codification</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 xml:space="preserve">penggelapan dalam jabatan, dakwaan subsidairitas, judi daring, pengendalian internal, pemulihan kerugian, kodifikasi pidana</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Embezzlement committed within an employment relationship differs from theft because possession is lawful at the outset and only later abused, so trust is the central element. This study examines the prosecutor's indictment and the panel's legal reasoning in Makassar District Court Decision Number 1339/Pid.B/2023/PN Mks, in which a company salesman collected customer payments and never remitted them. The research is normative legal research employing a legal case study approach supported by statutory and conceptual approaches, analysed descriptively and qualitatively. The findings show that the subsidiary form of indictment was correctly chosen, since the primary and subsidiary provisions share the same core elements and differ only in the aggravating element of employment, and that the panel rightly selected the primary charge. The study argues that the sentence of one year and ten months amounts to roughly thirty-seven percent of the statutory maximum and is therefore not low; the real gaps lie in the absence of any loss recovery for the company and in the internal control weaknesses that the trial facts themselves expose.</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Penggelapan yang dilakukan dalam hubungan kerja berbeda dari pencurian karena penguasaan barang pada mulanya sah dan baru kemudian disalahgunakan, sehingga kepercayaan menjadi unsur sentralnya. Penelitian ini mengkaji dakwaan penuntut umum dan pertimbangan hukum majelis hakim dalam Putusan Pengadilan Negeri Makassar Nomor 1339/Pid.B/2023/PN Mks, yang pelakunya seorang tenaga penjualan perusahaan yang menerima pembayaran pelanggan namun tidak menyetorkannya. Penelitian ini merupakan penelitian hukum normatif dengan pendekatan studi kasus hukum yang ditopang pendekatan peraturan perundang-undangan dan pendekatan konseptual, dianalisis secara deskriptif kualitatif. Hasil penelitian menunjukkan bentuk dakwaan subsidairitas dipilih secara tepat, sebab ketentuan primair dan subsidair memiliki unsur pokok yang sama dan hanya berbeda pada unsur pemberat berupa hubungan kerja, dan majelis hakim benar ketika memilih dakwaan primair. Penelitian ini berargumentasi bahwa pidana penjara satu tahun sepuluh bulan merupakan sekitar tiga puluh tujuh persen dari ancaman maksimum sehingga tidak dapat disebut rendah; kesenjangan yang sesungguhnya terletak pada tiadanya pemulihan kerugian perusahaan dan pada kelemahan pengendalian internal yang justru terungkap dari fakta persidangan itu sendiri.</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t>Informasi Artikel</w:t>
            </w:r>
            <w:r>
              <w:rPr>
                <w:rFonts w:cs="Segoe UI"/>
                <w:sz w:val="20"/>
                <w:szCs w:val="20"/>
              </w:rPr>
              <w:t xml:space="preserve">:  Diterima: ……………, Disetujui: ……………, Dipublikasikan: …………… (diisi oleh panitia)</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t>PENDAHULUAN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Penggelapan merupakan tindak pidana terhadap harta kekayaan yang memiliki karakter khas. Berbeda dengan pencurian yang barangnya belum berada dalam kekuasaan pelaku, pada penggelapan barang tersebut sudah berada dalam kekuasaan pelaku dan tidak diperoleh melalui kejahatan (Soesilo, 1995). Perbedaan itu bukan sekadar soal urutan waktu, melainkan menentukan letak sifat melawan hukumnya: pada pencurian sifat melawan hukum melekat sejak pengambilan, sedangkan pada penggelapan sifat itu baru muncul ketika penguasaan yang semula sah disalahgunakan (Prodjodikoro, 2014).</w:t>
      </w:r>
    </w:p>
    <w:p>
      <w:pPr>
        <w:pStyle w:val="IEEEParagraph"/>
        <w:ind w:left="567" w:right="322" w:firstLine="567"/>
        <w:rPr>
          <w:rFonts w:ascii="Segoe UI" w:hAnsi="Segoe UI" w:cs="Segoe UI"/>
          <w:sz w:val="22"/>
          <w:szCs w:val="22"/>
        </w:rPr>
      </w:pPr>
      <w:r>
        <w:rPr>
          <w:rFonts w:ascii="Segoe UI" w:hAnsi="Segoe UI" w:cs="Segoe UI"/>
          <w:sz w:val="22"/>
          <w:szCs w:val="22"/>
        </w:rPr>
        <w:t xml:space="preserve">Karena itulah kepercayaan menempati posisi sentral dalam delik ini. Kepercayaan tersebut dapat lahir dari hubungan keluarga, hubungan keperdataan, maupun hubungan kerja, dan justru pada hubungan kerja kepercayaan itu paling sering diberikan secara rutin dan berulang. Karyawan yang bertugas menerima pembayaran memperoleh penguasaan atas uang perusahaan bukan karena kejahatan, melainkan karena jabatannya. Undang-undang menempatkan keadaan tersebut sebagai alasan pemberat, sehingga penggelapan yang dilakukan oleh orang yang penguasaannya atas barang disebabkan hubungan kerja diancam pidana lebih berat daripada penggelapan dalam bentuk pokok (Karim &amp; Haeranah, 2016).</w:t>
      </w:r>
    </w:p>
    <w:p>
      <w:pPr>
        <w:pStyle w:val="IEEEParagraph"/>
        <w:ind w:left="567" w:right="322" w:firstLine="567"/>
        <w:rPr>
          <w:rFonts w:ascii="Segoe UI" w:hAnsi="Segoe UI" w:cs="Segoe UI"/>
          <w:sz w:val="22"/>
          <w:szCs w:val="22"/>
        </w:rPr>
      </w:pPr>
      <w:r>
        <w:rPr>
          <w:rFonts w:ascii="Segoe UI" w:hAnsi="Segoe UI" w:cs="Segoe UI"/>
          <w:sz w:val="22"/>
          <w:szCs w:val="22"/>
        </w:rPr>
        <w:t xml:space="preserve">Persoalan menjadi lebih kompleks ketika motif pelaku berubah. Dalam beberapa tahun terakhir muncul pendorong baru berupa jerat judi daring dan pinjaman daring yang menuntut pembayaran cepat dan berulang. Pendorong semacam ini mengubah profil pelaku penggelapan: bukan lagi orang yang sejak awal berniat jahat, melainkan karyawan tetap yang bergaji dan memiliki akses sah terhadap uang perusahaan, yang kemudian terdesak kebutuhan membayar utang. Perubahan profil itu berimplikasi pada cara mencegah dan cara memidana, sebab ancaman pidana semata tidak menyentuh sebab yang mendorong perbuatan.</w:t>
      </w:r>
    </w:p>
    <w:p>
      <w:pPr>
        <w:pStyle w:val="IEEEParagraph"/>
        <w:ind w:left="567" w:right="322" w:firstLine="567"/>
        <w:rPr>
          <w:rFonts w:ascii="Segoe UI" w:hAnsi="Segoe UI" w:cs="Segoe UI"/>
          <w:sz w:val="22"/>
          <w:szCs w:val="22"/>
        </w:rPr>
      </w:pPr>
      <w:r>
        <w:rPr>
          <w:rFonts w:ascii="Segoe UI" w:hAnsi="Segoe UI" w:cs="Segoe UI"/>
          <w:sz w:val="22"/>
          <w:szCs w:val="22"/>
        </w:rPr>
        <w:t xml:space="preserve">Secara dogmatis, penilaian atas perbuatan semacam ini tetap harus bertolak dari terpenuhinya seluruh unsur delik. Suatu perbuatan baru dapat disebut tindak pidana apabila memenuhi unsur yang dirumuskan undang-undang, bersifat melawan hukum, dan dilakukan oleh orang yang mampu bertanggung jawab (Effendi, 2011). Pertanggungjawaban pidana pun hanya dapat dibebankan apabila unsur kesalahan terbukti, sehingga pemidanaan tidak boleh bertumpu semata-mata pada besarnya kerugian yang timbul (Ilyas, 2012). Kerangka itu penting dipegang pada delik penggelapan, sebab besarnya kerugian kerap mendorong penilaian yang tergesa-gesa, padahal yang menentukan tetaplah kesesuaian antara fakta dan rumusan unsur.</w:t>
      </w:r>
    </w:p>
    <w:p>
      <w:pPr>
        <w:pStyle w:val="IEEEParagraph"/>
        <w:ind w:left="567" w:right="322" w:firstLine="567"/>
        <w:rPr>
          <w:rFonts w:ascii="Segoe UI" w:hAnsi="Segoe UI" w:cs="Segoe UI"/>
          <w:sz w:val="22"/>
          <w:szCs w:val="22"/>
        </w:rPr>
      </w:pPr>
      <w:r>
        <w:rPr>
          <w:rFonts w:ascii="Segoe UI" w:hAnsi="Segoe UI" w:cs="Segoe UI"/>
          <w:sz w:val="22"/>
          <w:szCs w:val="22"/>
        </w:rPr>
        <w:t xml:space="preserve">Putusan Pengadilan Negeri Makassar Nomor 1339/Pid.B/2023/PN Mks memperlihatkan keadaan tersebut secara konkret. Terdakwa adalah tenaga penjualan pada sebuah perusahaan distributor bahan bangunan yang bertugas mencari pesanan dan melakukan penagihan kepada pelanggan. Ia menerima pembayaran dari dua toko pelanggan, baik secara tunai maupun melalui transfer ke rekening pribadinya, tetapi tidak menyetorkannya kepada kasir perusahaan. Perusahaan mengalami kerugian sebesar Rp81.658.953,00, dan uang tersebut digunakan terdakwa untuk membayar pinjaman daring serta berjudi daring. Penuntut umum menyusun dakwaan berbentuk subsidairitas, dan majelis hakim menjatuhkan pidana penjara satu tahun sepuluh bulan.</w:t>
      </w:r>
    </w:p>
    <w:p>
      <w:pPr>
        <w:pStyle w:val="IEEEParagraph"/>
        <w:ind w:left="567" w:right="322" w:firstLine="567"/>
        <w:rPr>
          <w:rFonts w:ascii="Segoe UI" w:hAnsi="Segoe UI" w:cs="Segoe UI"/>
          <w:sz w:val="22"/>
          <w:szCs w:val="22"/>
        </w:rPr>
      </w:pPr>
      <w:r>
        <w:rPr>
          <w:rFonts w:ascii="Segoe UI" w:hAnsi="Segoe UI" w:cs="Segoe UI"/>
          <w:sz w:val="22"/>
          <w:szCs w:val="22"/>
        </w:rPr>
        <w:t xml:space="preserve">Masalah hukum yang muncul bersifat berlapis. Pada lapis pertama terdapat pertanyaan mengenai ketepatan bentuk dakwaan, yaitu apakah bentuk subsidairitas memang sesuai dengan hubungan antara kedua ketentuan yang didakwakan dan apakah pemilihan dakwaan primair memiliki dasar faktual. Pada lapis kedua terdapat pertanyaan mengenai kualitas pertimbangan hakim, yaitu apakah seluruh unsur diuji secara memadai, apakah pidana yang dijatuhkan proporsional, dan apakah putusan menjawab kerugian yang diderita perusahaan.</w:t>
      </w:r>
    </w:p>
    <w:p>
      <w:pPr>
        <w:pStyle w:val="IEEEParagraph"/>
        <w:ind w:left="567" w:right="322" w:firstLine="567"/>
        <w:rPr>
          <w:rFonts w:ascii="Segoe UI" w:hAnsi="Segoe UI" w:cs="Segoe UI"/>
          <w:sz w:val="22"/>
          <w:szCs w:val="22"/>
        </w:rPr>
      </w:pPr>
      <w:r>
        <w:rPr>
          <w:rFonts w:ascii="Segoe UI" w:hAnsi="Segoe UI" w:cs="Segoe UI"/>
          <w:sz w:val="22"/>
          <w:szCs w:val="22"/>
        </w:rPr>
        <w:t xml:space="preserve">Kajian mengenai penggelapan di Indonesia telah berkembang cukup lama. Hartanti dkk. (2021) menelaah penerapan sanksi terhadap pelaku penggelapan uang pada transaksi dengan pembayaran di tempat, Karim dan Haeranah (2016) memetakan bentuk-bentuk penggelapan dalam kodifikasi, sedangkan Efendi (2018) mengkaji dasar pertimbangan hukum hakim. Kajian-kajian tersebut berjasa membangun kerangka konseptual, tetapi umumnya berhenti pada penilaian atas norma dan putusan, dan belum menautkan motif pelaku serta kelemahan tata kelola yang memungkinkan perbuatan itu terjadi.</w:t>
      </w:r>
    </w:p>
    <w:p>
      <w:pPr>
        <w:pStyle w:val="IEEEParagraph"/>
        <w:ind w:left="567" w:right="322" w:firstLine="567"/>
        <w:rPr>
          <w:rFonts w:ascii="Segoe UI" w:hAnsi="Segoe UI" w:cs="Segoe UI"/>
          <w:sz w:val="22"/>
          <w:szCs w:val="22"/>
        </w:rPr>
      </w:pPr>
      <w:r>
        <w:rPr>
          <w:rFonts w:ascii="Segoe UI" w:hAnsi="Segoe UI" w:cs="Segoe UI"/>
          <w:sz w:val="22"/>
          <w:szCs w:val="22"/>
        </w:rPr>
        <w:t xml:space="preserve">Berbeda dengan penelitian sebelumnya, penelitian ini membaca fakta persidangan tidak hanya sebagai dasar pembuktian unsur, melainkan juga sebagai sumber informasi mengenai titik-titik rawan dalam prosedur penagihan yang memungkinkan penggelapan berlangsung tanpa terdeteksi. Penelitian ini juga menempatkan putusan pada titik transisi sistem pemidanaan nasional, sebab sejak 2 Januari 2026 berlaku Undang-Undang Nomor 1 Tahun 2023 tentang Kitab Undang-Undang Hukum Pidana yang merekodifikasi delik penggelapan beserta bentuk pemberatnya. Dimensi transisional itu belum dijangkau kajian terdahulu.</w:t>
      </w:r>
    </w:p>
    <w:p>
      <w:pPr>
        <w:pStyle w:val="IEEEParagraph"/>
        <w:ind w:left="567" w:right="322" w:firstLine="567"/>
        <w:rPr>
          <w:rFonts w:ascii="Segoe UI" w:hAnsi="Segoe UI" w:cs="Segoe UI"/>
          <w:sz w:val="22"/>
          <w:szCs w:val="22"/>
        </w:rPr>
      </w:pPr>
      <w:r>
        <w:rPr>
          <w:rFonts w:ascii="Segoe UI" w:hAnsi="Segoe UI" w:cs="Segoe UI"/>
          <w:sz w:val="22"/>
          <w:szCs w:val="22"/>
        </w:rPr>
        <w:t xml:space="preserve">Tujuan penelitian ini adalah, pertama, menganalisis dakwaan penuntut umum dalam tindak pidana penggelapan sebagaimana diatur dalam Pasal 374 Kitab Undang-Undang Hukum Pidana berdasarkan Putusan Nomor 1339/Pid.B/2023/PN Mks; kedua, menganalisis pertimbangan hukum hakim dalam putusan tersebut. Secara teoretis, penelitian ini berkontribusi pada kajian hukum pidana harta kekayaan dengan memperlihatkan hubungan antara struktur delik, proporsionalitas pemidanaan, dan pemulihan kerugian. Secara praktis, hasil penelitian ini dapat menjadi rujukan bagi penuntut umum dan hakim, serta bagi pelaku usaha dalam menutup celah prosedur yang memungkinkan penggelapan terjadi. Kontribusi terakhir itu jarang menjadi perhatian kajian hukum pidana, padahal putusan pengadilan memuat uraian prosedur kerja yang cukup rinci sehingga dapat dibaca sebagai bahan evaluasi tata kelola, bukan semata-mata sebagai dasar pembuktian unsur delik.</w:t>
      </w:r>
    </w:p>
    <w:p w14:paraId="1382B788" w14:textId="468BF956" w:rsidR="001E0508" w:rsidRPr="001C62FB" w:rsidRDefault="001C62FB" w:rsidP="00955050">
      <w:pPr>
        <w:pStyle w:val="Heading3"/>
        <w:ind w:left="1134" w:right="322" w:hanging="425"/>
      </w:pPr>
      <w:r>
        <w:t xml:space="preserve">METODOLOGI PENELITIAN </w:t>
      </w:r>
    </w:p>
    <w:p>
      <w:pPr>
        <w:pStyle w:val="IEEEParagraph"/>
        <w:ind w:left="567" w:right="322" w:firstLine="567"/>
        <w:rPr>
          <w:rFonts w:ascii="Segoe UI" w:hAnsi="Segoe UI" w:cs="Segoe UI"/>
          <w:sz w:val="22"/>
          <w:szCs w:val="22"/>
        </w:rPr>
      </w:pPr>
      <w:r>
        <w:rPr>
          <w:rFonts w:ascii="Segoe UI" w:hAnsi="Segoe UI" w:cs="Segoe UI"/>
          <w:sz w:val="22"/>
          <w:szCs w:val="22"/>
        </w:rPr>
        <w:t xml:space="preserve">Bagian ini menguraikan cara penelitian dilakukan agar temuan yang disajikan dapat ditelusuri dan diuji kembali. Uraian mencakup jenis dan pendekatan penelitian, lokasi penelitian, jenis dan sumber data, teknik pengumpulan data, teknik analisis, serta batasan penelitian.</w:t>
      </w:r>
    </w:p>
    <w:p>
      <w:pPr>
        <w:pStyle w:val="IEEEParagraph"/>
        <w:ind w:left="567" w:right="322"/>
      </w:pPr>
    </w:p>
    <w:p>
      <w:pPr>
        <w:pStyle w:val="Heading2"/>
        <w:ind w:right="322"/>
        <w:rPr>
          <w:rStyle w:val="mediumtext"/>
        </w:rPr>
      </w:pPr>
      <w:r>
        <w:rPr>
          <w:rStyle w:val="mediumtext"/>
        </w:rPr>
        <w:t xml:space="preserve">2.1 Jenis dan Pendekatan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ini merupakan penelitian hukum normatif, yaitu penelitian yang menempatkan norma hukum dan amar putusan hakim sebagai objek kajian utama. Pilihan tersebut ditentukan oleh karakter kedua permasalahan yang dirumuskan, yang sama-sama menuntut pengujian atas kesesuaian antara norma dan fakta hukum, bukan pengukuran variabel maupun pengujian hipotesis (Marzuki, 2014).</w:t>
      </w:r>
    </w:p>
    <w:p>
      <w:pPr>
        <w:pStyle w:val="IEEEParagraph"/>
        <w:ind w:left="567" w:right="322" w:firstLine="567"/>
        <w:rPr>
          <w:rFonts w:ascii="Segoe UI" w:hAnsi="Segoe UI" w:cs="Segoe UI"/>
          <w:sz w:val="22"/>
          <w:szCs w:val="22"/>
        </w:rPr>
      </w:pPr>
      <w:r>
        <w:rPr>
          <w:rFonts w:ascii="Segoe UI" w:hAnsi="Segoe UI" w:cs="Segoe UI"/>
          <w:sz w:val="22"/>
          <w:szCs w:val="22"/>
        </w:rPr>
        <w:t xml:space="preserve">Pendekatan utama yang digunakan adalah pendekatan studi kasus hukum (</w:t>
      </w:r>
      <w:r>
        <w:rPr>
          <w:rFonts w:ascii="Segoe UI" w:hAnsi="Segoe UI" w:cs="Segoe UI"/>
          <w:sz w:val="22"/>
          <w:szCs w:val="22"/>
          <w:i/>
          <w:iCs/>
        </w:rPr>
        <w:t xml:space="preserve">legal case study approach</w:t>
      </w:r>
      <w:r>
        <w:rPr>
          <w:rFonts w:ascii="Segoe UI" w:hAnsi="Segoe UI" w:cs="Segoe UI"/>
          <w:sz w:val="22"/>
          <w:szCs w:val="22"/>
        </w:rPr>
        <w:t xml:space="preserve">) terhadap Putusan Pengadilan Negeri Makassar Nomor 1339/Pid.B/2023/PN Mks. Pendekatan tersebut ditopang oleh pendekatan peraturan perundang-undangan (</w:t>
      </w:r>
      <w:r>
        <w:rPr>
          <w:rFonts w:ascii="Segoe UI" w:hAnsi="Segoe UI" w:cs="Segoe UI"/>
          <w:sz w:val="22"/>
          <w:szCs w:val="22"/>
          <w:i/>
          <w:iCs/>
        </w:rPr>
        <w:t xml:space="preserve">statute approach</w:t>
      </w:r>
      <w:r>
        <w:rPr>
          <w:rFonts w:ascii="Segoe UI" w:hAnsi="Segoe UI" w:cs="Segoe UI"/>
          <w:sz w:val="22"/>
          <w:szCs w:val="22"/>
        </w:rPr>
        <w:t xml:space="preserve">) untuk menelaah rumusan unsur, hubungan antara ketentuan yang didakwakan, ancaman pidana, dan padanannya dalam kodifikasi yang baru, serta pendekatan konseptual (</w:t>
      </w:r>
      <w:r>
        <w:rPr>
          <w:rFonts w:ascii="Segoe UI" w:hAnsi="Segoe UI" w:cs="Segoe UI"/>
          <w:sz w:val="22"/>
          <w:szCs w:val="22"/>
          <w:i/>
          <w:iCs/>
        </w:rPr>
        <w:t xml:space="preserve">conceptual approach</w:t>
      </w:r>
      <w:r>
        <w:rPr>
          <w:rFonts w:ascii="Segoe UI" w:hAnsi="Segoe UI" w:cs="Segoe UI"/>
          <w:sz w:val="22"/>
          <w:szCs w:val="22"/>
        </w:rPr>
        <w:t xml:space="preserve">) untuk mendudukkan konsep kepercayaan, dakwaan subsidairitas, proporsionalitas pemidanaan, dan pemulihan kerugian.</w:t>
      </w:r>
    </w:p>
    <w:p>
      <w:pPr>
        <w:pStyle w:val="IEEEParagraph"/>
        <w:ind w:left="567" w:right="322" w:firstLine="567"/>
        <w:rPr>
          <w:rFonts w:ascii="Segoe UI" w:hAnsi="Segoe UI" w:cs="Segoe UI"/>
          <w:sz w:val="22"/>
          <w:szCs w:val="22"/>
        </w:rPr>
      </w:pPr>
      <w:r>
        <w:rPr>
          <w:rFonts w:ascii="Segoe UI" w:hAnsi="Segoe UI" w:cs="Segoe UI"/>
          <w:sz w:val="22"/>
          <w:szCs w:val="22"/>
        </w:rPr>
        <w:t xml:space="preserve">Ketiga pendekatan tersebut bekerja secara berlapis. Pendekatan kasus dipakai untuk merekonstruksi fakta hukum dan penalaran majelis; pendekatan perundang-undangan dipakai untuk menguji apakah ketentuan yang dipilih memang menjangkau perbuatan yang terbukti; sedangkan pendekatan konseptual dipakai untuk menilai kelayakan putusan yang dihasilkan. Perpaduan ini diperlukan karena permasalahan penelitian tidak berhenti pada pertanyaan apakah terdakwa terbukti bersalah, melainkan berlanjut pada pertanyaan apakah putusan tersebut memadai bagi pihak yang dirugikan.</w:t>
      </w:r>
    </w:p>
    <w:p>
      <w:pPr>
        <w:pStyle w:val="IEEEParagraph"/>
        <w:ind w:left="567" w:right="322"/>
      </w:pPr>
    </w:p>
    <w:p>
      <w:pPr>
        <w:pStyle w:val="Heading2"/>
        <w:ind w:right="322"/>
        <w:rPr>
          <w:rStyle w:val="mediumtext"/>
        </w:rPr>
      </w:pPr>
      <w:r>
        <w:rPr>
          <w:rStyle w:val="mediumtext"/>
        </w:rPr>
        <w:t xml:space="preserve">2.2 Lokasi Penelitian, Jenis dan Sumber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dilaksanakan di Pengadilan Negeri Makassar sebagai pengadilan yang menjatuhkan putusan yang dikaji. Data primer diperoleh dari lapangan dengan mengadakan wawancara secara langsung dengan pihak yang terkait dengan penelitian ini, sedangkan data sekunder diperoleh melalui studi kepustakaan berupa buku, peraturan perundang-undangan, dan dokumen lain yang berkaitan langsung dengan masalah yang diteliti.</w:t>
      </w:r>
    </w:p>
    <w:p>
      <w:pPr>
        <w:pStyle w:val="IEEEParagraph"/>
        <w:ind w:left="567" w:right="322" w:firstLine="567"/>
        <w:rPr>
          <w:rFonts w:ascii="Segoe UI" w:hAnsi="Segoe UI" w:cs="Segoe UI"/>
          <w:sz w:val="22"/>
          <w:szCs w:val="22"/>
        </w:rPr>
      </w:pPr>
      <w:r>
        <w:rPr>
          <w:rFonts w:ascii="Segoe UI" w:hAnsi="Segoe UI" w:cs="Segoe UI"/>
          <w:sz w:val="22"/>
          <w:szCs w:val="22"/>
        </w:rPr>
        <w:t xml:space="preserve">Bahan hukum primer terdiri atas Putusan Nomor 1339/Pid.B/2023/PN Mks beserta surat dakwaan, keterangan saksi dan terdakwa, serta daftar barang bukti yang melekat padanya; Kitab Undang-Undang Hukum Pidana; Undang-Undang Nomor 8 Tahun 1981 tentang Hukum Acara Pidana; Undang-Undang Nomor 48 Tahun 2009 tentang Kekuasaan Kehakiman; Undang-Undang Nomor 1 Tahun 2023 tentang Kitab Undang-Undang Hukum Pidana; Undang-Undang Nomor 20 Tahun 2025 tentang Kitab Undang-Undang Hukum Acara Pidana; serta Peraturan Mahkamah Agung Nomor 2 Tahun 2012. Bahan hukum sekunder berupa buku hukum pidana, artikel jurnal ilmiah, dan publikasi resmi lembaga peradilan yang relevan.</w:t>
      </w:r>
    </w:p>
    <w:p>
      <w:pPr>
        <w:pStyle w:val="IEEEParagraph"/>
        <w:ind w:left="567" w:right="322"/>
      </w:pPr>
    </w:p>
    <w:p>
      <w:pPr>
        <w:pStyle w:val="Heading2"/>
        <w:ind w:right="322"/>
        <w:rPr>
          <w:rStyle w:val="mediumtext"/>
        </w:rPr>
      </w:pPr>
      <w:r>
        <w:rPr>
          <w:rStyle w:val="mediumtext"/>
        </w:rPr>
        <w:t xml:space="preserve">2.3 Teknik Pengumpulan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Pengumpulan data ditempuh melalui penelitian kepustakaan (</w:t>
      </w:r>
      <w:r>
        <w:rPr>
          <w:rFonts w:ascii="Segoe UI" w:hAnsi="Segoe UI" w:cs="Segoe UI"/>
          <w:sz w:val="22"/>
          <w:szCs w:val="22"/>
          <w:i/>
          <w:iCs/>
        </w:rPr>
        <w:t xml:space="preserve">library research</w:t>
      </w:r>
      <w:r>
        <w:rPr>
          <w:rFonts w:ascii="Segoe UI" w:hAnsi="Segoe UI" w:cs="Segoe UI"/>
          <w:sz w:val="22"/>
          <w:szCs w:val="22"/>
        </w:rPr>
        <w:t xml:space="preserve">), yaitu penelaahan bahan pustaka termasuk buku, peraturan perundang-undangan, dan dokumen lain yang berkaitan dengan materi penelitian, serta melalui penelitian lapangan (</w:t>
      </w:r>
      <w:r>
        <w:rPr>
          <w:rFonts w:ascii="Segoe UI" w:hAnsi="Segoe UI" w:cs="Segoe UI"/>
          <w:sz w:val="22"/>
          <w:szCs w:val="22"/>
          <w:i/>
          <w:iCs/>
        </w:rPr>
        <w:t xml:space="preserve">field research</w:t>
      </w:r>
      <w:r>
        <w:rPr>
          <w:rFonts w:ascii="Segoe UI" w:hAnsi="Segoe UI" w:cs="Segoe UI"/>
          <w:sz w:val="22"/>
          <w:szCs w:val="22"/>
        </w:rPr>
        <w:t xml:space="preserve">) berupa pengamatan langsung, penelaahan, dan analisis terhadap pertimbangan hukum hakim pada perkara yang dikaji.</w:t>
      </w:r>
    </w:p>
    <w:p>
      <w:pPr>
        <w:pStyle w:val="IEEEParagraph"/>
        <w:ind w:left="567" w:right="322" w:firstLine="567"/>
        <w:rPr>
          <w:rFonts w:ascii="Segoe UI" w:hAnsi="Segoe UI" w:cs="Segoe UI"/>
          <w:sz w:val="22"/>
          <w:szCs w:val="22"/>
        </w:rPr>
      </w:pPr>
      <w:r>
        <w:rPr>
          <w:rFonts w:ascii="Segoe UI" w:hAnsi="Segoe UI" w:cs="Segoe UI"/>
          <w:sz w:val="22"/>
          <w:szCs w:val="22"/>
        </w:rPr>
        <w:t xml:space="preserve">Terhadap perubahan peraturan yang terjadi sesudah putusan dijatuhkan, penelusuran diarahkan pada teks undang-undang beserta penjelasannya dan pada publikasi resmi lembaga peradilan, bukan pada tulisan populer, agar setiap pernyataan mengenai rumusan dan keberlakuan norma dapat diverifikasi sumbernya. Bahan yang tidak dapat diverifikasi tidak digunakan sebagai dasar argumentasi.</w:t>
      </w:r>
    </w:p>
    <w:p>
      <w:pPr>
        <w:pStyle w:val="IEEEParagraph"/>
        <w:ind w:left="567" w:right="322"/>
      </w:pPr>
    </w:p>
    <w:p>
      <w:pPr>
        <w:pStyle w:val="Heading2"/>
        <w:ind w:right="322"/>
        <w:rPr>
          <w:rStyle w:val="mediumtext"/>
        </w:rPr>
      </w:pPr>
      <w:r>
        <w:rPr>
          <w:rStyle w:val="mediumtext"/>
        </w:rPr>
        <w:t xml:space="preserve">2.4 Teknik Analisis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Data yang diperoleh disusun, diuraikan, dan dianalisis secara kualitatif serta dipaparkan secara deskriptif. Analisis ditempuh melalui alur berjenjang, yaitu identifikasi fakta hukum yang terungkap di persidangan, identifikasi rumusan unsur pada ketentuan yang didakwakan, pengujian kesesuaian antara fakta dan unsur, penilaian atas pertimbangan majelis hakim, dan perumusan argumentasi penulis.</w:t>
      </w:r>
    </w:p>
    <w:p>
      <w:pPr>
        <w:pStyle w:val="IEEEParagraph"/>
        <w:ind w:left="567" w:right="322" w:firstLine="567"/>
        <w:rPr>
          <w:rFonts w:ascii="Segoe UI" w:hAnsi="Segoe UI" w:cs="Segoe UI"/>
          <w:sz w:val="22"/>
          <w:szCs w:val="22"/>
        </w:rPr>
      </w:pPr>
      <w:r>
        <w:rPr>
          <w:rFonts w:ascii="Segoe UI" w:hAnsi="Segoe UI" w:cs="Segoe UI"/>
          <w:sz w:val="22"/>
          <w:szCs w:val="22"/>
        </w:rPr>
        <w:t xml:space="preserve">Pada permasalahan kedua, analisis dilanjutkan dengan dua langkah tambahan. Pertama, pengukuran proporsionalitas dengan menyandingkan pidana yang dijatuhkan terhadap ancaman pidana maksimum pada ketentuan yang diterapkan serta terhadap besaran kerugian yang terbukti. Kedua, pembacaan ulang atas fakta persidangan untuk mengidentifikasi titik rawan dalam prosedur kerja yang memungkinkan perbuatan berlangsung tanpa terdeteksi. Langkah kedua tetap berada dalam kerangka normatif karena seluruh fakta yang dipakai bersumber pada putusan.</w:t>
      </w:r>
    </w:p>
    <w:p>
      <w:pPr>
        <w:pStyle w:val="IEEEParagraph"/>
        <w:ind w:left="567" w:right="322" w:firstLine="567"/>
        <w:rPr>
          <w:rFonts w:ascii="Segoe UI" w:hAnsi="Segoe UI" w:cs="Segoe UI"/>
          <w:sz w:val="22"/>
          <w:szCs w:val="22"/>
        </w:rPr>
      </w:pPr>
      <w:r>
        <w:rPr>
          <w:rFonts w:ascii="Segoe UI" w:hAnsi="Segoe UI" w:cs="Segoe UI"/>
          <w:sz w:val="22"/>
          <w:szCs w:val="22"/>
        </w:rPr>
        <w:t xml:space="preserve">Validitas analisis dijaga melalui dua cara. Pertama, setiap pernyataan mengenai fakta perkara dilacak kembali pada dokumen putusan sehingga tidak ada fakta yang ditambahkan dari luar berkas. Kedua, setiap penilaian terhadap berat pidana diuji dengan menyandingkannya pada pandangan yang berbeda, khususnya pandangan yang menekankan kemerdekaan hakim dalam menentukan berat pidana, agar argumentasi yang dibangun tidak berubah menjadi tuntutan pembalasan.</w:t>
      </w:r>
    </w:p>
    <w:p>
      <w:pPr>
        <w:pStyle w:val="IEEEParagraph"/>
        <w:ind w:left="567" w:right="322"/>
      </w:pPr>
    </w:p>
    <w:p>
      <w:pPr>
        <w:pStyle w:val="Heading2"/>
        <w:ind w:right="322"/>
        <w:rPr>
          <w:rStyle w:val="mediumtext"/>
        </w:rPr>
      </w:pPr>
      <w:r>
        <w:rPr>
          <w:rStyle w:val="mediumtext"/>
        </w:rPr>
        <w:t xml:space="preserve">2.5 Batasan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ini dibatasi pada satu putusan sehingga tidak dimaksudkan menggeneralisasi praktik peradilan perkara penggelapan secara nasional; nilai penelitian terletak pada kedalaman analisis terhadap konstruksi penalaran hukum, bukan pada keterwakilan statistik. Identifikasi titik rawan prosedur juga dibatasi pada apa yang terurai dalam putusan dan tidak dimaksudkan sebagai audit terhadap perusahaan tertentu. Kesimpulan yang ditarik berlaku pada tataran konstruksi hukum dan bukan merupakan penilaian atas kinerja aparat maupun badan usaha tertentu.</w:t>
      </w:r>
    </w:p>
    <w:p w14:paraId="12B5585A" w14:textId="6E9841B4" w:rsidR="001E0508" w:rsidRPr="001C62FB" w:rsidRDefault="006F0069" w:rsidP="006F0069">
      <w:pPr>
        <w:pStyle w:val="Heading3"/>
        <w:ind w:left="1134" w:hanging="283"/>
      </w:pPr>
      <w:r>
        <w:rPr>
          <w:iCs/>
        </w:rPr>
        <w:t>HASIL DA</w:t>
      </w:r>
      <w:r>
        <w:t>N PEMBAHASAN</w:t>
      </w:r>
    </w:p>
    <w:p>
      <w:pPr>
        <w:pStyle w:val="IEEEParagraph"/>
        <w:ind w:left="567" w:right="322" w:firstLine="567"/>
        <w:rPr>
          <w:rFonts w:ascii="Segoe UI" w:hAnsi="Segoe UI" w:cs="Segoe UI"/>
          <w:sz w:val="22"/>
          <w:szCs w:val="22"/>
        </w:rPr>
      </w:pPr>
      <w:r>
        <w:rPr>
          <w:rFonts w:ascii="Segoe UI" w:hAnsi="Segoe UI" w:cs="Segoe UI"/>
          <w:sz w:val="22"/>
          <w:szCs w:val="22"/>
        </w:rPr>
        <w:t xml:space="preserve">Hasil penelitian dan pembahasan disajikan secara terpadu mengikuti dua rumusan masalah. Subbagian 3.1 menganalisis konstruksi dakwaan, sedangkan subbagian 3.2 menganalisis pertimbangan hakim beserta proporsionalitas pidana dan celah prosedur yang terungkap dari fakta persidangan.</w:t>
      </w:r>
    </w:p>
    <w:p>
      <w:pPr>
        <w:pStyle w:val="IEEEParagraph"/>
        <w:ind w:left="567" w:right="322"/>
      </w:pPr>
    </w:p>
    <w:p>
      <w:pPr>
        <w:pStyle w:val="Heading2"/>
        <w:ind w:right="322"/>
        <w:rPr>
          <w:rStyle w:val="mediumtext"/>
        </w:rPr>
      </w:pPr>
      <w:r>
        <w:rPr>
          <w:rStyle w:val="mediumtext"/>
        </w:rPr>
        <w:t xml:space="preserve">3.1 Konstruksi Dakwaan Subsidairitas dan Hubungan Pasal 374 dengan Pasal 372 KUHP</w:t>
      </w:r>
    </w:p>
    <w:p>
      <w:pPr>
        <w:pStyle w:val="IEEEParagraph"/>
        <w:ind w:left="567" w:right="322" w:firstLine="567"/>
        <w:rPr>
          <w:rFonts w:ascii="Segoe UI" w:hAnsi="Segoe UI" w:cs="Segoe UI"/>
          <w:sz w:val="22"/>
          <w:szCs w:val="22"/>
        </w:rPr>
      </w:pPr>
      <w:r>
        <w:rPr>
          <w:rFonts w:ascii="Segoe UI" w:hAnsi="Segoe UI" w:cs="Segoe UI"/>
          <w:sz w:val="22"/>
          <w:szCs w:val="22"/>
        </w:rPr>
        <w:t xml:space="preserve">Fakta hukum yang menjadi dasar dakwaan dapat diringkas sebagai berikut. Terdakwa diangkat sebagai tenaga penjualan pada sebuah perusahaan distributor bahan bangunan sejak Oktober 2021 berdasarkan perjanjian kerja waktu tidak tertentu, dengan wilayah penugasan beberapa kabupaten dan upah tetap bulanan di luar insentif. Tugasnya mencari pesanan dan menagih pelanggan yang fakturnya jatuh tempo, dengan alur baku berupa penginputan pesanan, persetujuan, pengiriman barang oleh gudang, pencetakan faktur, penagihan, dan penyetoran hasil pembayaran kepada kasir.</w:t>
      </w:r>
    </w:p>
    <w:p>
      <w:pPr>
        <w:pStyle w:val="IEEEParagraph"/>
        <w:ind w:left="567" w:right="322" w:firstLine="567"/>
        <w:rPr>
          <w:rFonts w:ascii="Segoe UI" w:hAnsi="Segoe UI" w:cs="Segoe UI"/>
          <w:sz w:val="22"/>
          <w:szCs w:val="22"/>
        </w:rPr>
      </w:pPr>
      <w:r>
        <w:rPr>
          <w:rFonts w:ascii="Segoe UI" w:hAnsi="Segoe UI" w:cs="Segoe UI"/>
          <w:sz w:val="22"/>
          <w:szCs w:val="22"/>
        </w:rPr>
        <w:t xml:space="preserve">Penyimpangan terjadi pada mata rantai terakhir. Terdakwa menagih kepada dua toko pelanggan dan langsung menyerahkan faktur penjualan setelah menerima uang, tanpa menyetorkannya kepada kasir perusahaan. Sebagian pembayaran diterima secara tunai dan sebagian lagi melalui transfer ke rekening pribadi terdakwa. Perusahaan baru mengetahui penyimpangan itu ketika menghubungi pelanggan pada saat faktur jatuh tempo dan memperoleh keterangan bahwa pembayaran telah lunas diterima oleh tenaga penjualannya. Kerugian perusahaan tercatat sebesar Rp81.658.953,00 sebagaimana hasil audit internal yang menjadi barang bukti, dan uang tersebut digunakan terdakwa untuk membayar pinjaman daring serta berjudi daring.</w:t>
      </w:r>
    </w:p>
    <w:p>
      <w:pPr>
        <w:pStyle w:val="IEEEParagraph"/>
        <w:ind w:left="567" w:right="322" w:firstLine="567"/>
        <w:rPr>
          <w:rFonts w:ascii="Segoe UI" w:hAnsi="Segoe UI" w:cs="Segoe UI"/>
          <w:sz w:val="22"/>
          <w:szCs w:val="22"/>
        </w:rPr>
      </w:pPr>
      <w:r>
        <w:rPr>
          <w:rFonts w:ascii="Segoe UI" w:hAnsi="Segoe UI" w:cs="Segoe UI"/>
          <w:sz w:val="22"/>
          <w:szCs w:val="22"/>
        </w:rPr>
        <w:t xml:space="preserve">Atas peristiwa tersebut penuntut umum menyusun surat dakwaan berbentuk subsidairitas, yaitu dakwaan primair Pasal 374 dan dakwaan subsidair Pasal 372 Kitab Undang-Undang Hukum Pidana. Bentuk subsidairitas berisi rumusan tindak pidana yang disusun bertingkat mulai dari ancaman pidana paling berat menuju yang paling ringan, sehingga hakim memeriksa dakwaan primair lebih dahulu dan baru beralih ke dakwaan subsidair apabila yang pertama tidak terbukti, berbeda dari dakwaan alternatif yang lapisannya saling mengecualikan tanpa urutan keberatan (Gunadi &amp; Efendi, 2019). Surat dakwaan sendiri wajib memenuhi syarat formal dan materiil, dan ketidakterpenuhan syarat materiil berakibat batal demi hukum (Harahap, 2010). Tabel 1 memperbandingkan kedua lapis dakwaan tersebut.</w:t>
      </w:r>
    </w:p>
    <w:p>
      <w:pPr>
        <w:keepNext/>
        <w:keepLines/>
        <w:spacing w:before="120" w:after="60" w:line="240" w:lineRule="auto"/>
        <w:ind w:left="567" w:right="322"/>
        <w:jc w:val="left"/>
        <w:rPr>
          <w:rFonts w:ascii="Segoe UI" w:hAnsi="Segoe UI" w:cs="Segoe UI"/>
          <w:sz w:val="20"/>
          <w:szCs w:val="20"/>
        </w:rPr>
      </w:pPr>
      <w:r>
        <w:rPr>
          <w:rFonts w:ascii="Segoe UI" w:hAnsi="Segoe UI" w:cs="Segoe UI"/>
          <w:b/>
          <w:bCs/>
          <w:sz w:val="20"/>
          <w:szCs w:val="20"/>
        </w:rPr>
        <w:t xml:space="preserve">Tabel 1. </w:t>
      </w:r>
      <w:r>
        <w:rPr>
          <w:rFonts w:ascii="Segoe UI" w:hAnsi="Segoe UI" w:cs="Segoe UI"/>
          <w:sz w:val="20"/>
          <w:szCs w:val="20"/>
        </w:rPr>
        <w:t xml:space="preserve">Perbandingan Dakwaan Primair dan Subsidair Beserta Padanannya dalam KUHP Nasional</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1900"/>
        <w:gridCol w:w="3550"/>
        <w:gridCol w:w="3576"/>
      </w:tblGrid>
      <w:tr>
        <w:trPr>
          <w:cantSplit/>
          <w:tblHeader/>
        </w:trPr>
        <w:tc>
          <w:tcPr>
            <w:tcW w:w="19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Aspek</w:t>
            </w:r>
          </w:p>
        </w:tc>
        <w:tc>
          <w:tcPr>
            <w:tcW w:w="355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Primair: Pasal 374 KUHP</w:t>
            </w:r>
          </w:p>
        </w:tc>
        <w:tc>
          <w:tcPr>
            <w:tcW w:w="3576"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Subsidair: Pasal 372 KUHP</w:t>
            </w:r>
          </w:p>
        </w:tc>
      </w:tr>
      <w:tr>
        <w:trPr>
          <w:cantSplit/>
        </w:trPr>
        <w:tc>
          <w:tcPr>
            <w:tcW w:w="1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Kualifikasi</w:t>
            </w:r>
          </w:p>
        </w:tc>
        <w:tc>
          <w:tcPr>
            <w:tcW w:w="35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Penggelapan dalam jabatan</w:t>
            </w:r>
          </w:p>
        </w:tc>
        <w:tc>
          <w:tcPr>
            <w:tcW w:w="357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Penggelapan dalam bentuk pokok</w:t>
            </w:r>
          </w:p>
        </w:tc>
      </w:tr>
      <w:tr>
        <w:trPr>
          <w:cantSplit/>
        </w:trPr>
        <w:tc>
          <w:tcPr>
            <w:tcW w:w="1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Unsur pokok</w:t>
            </w:r>
          </w:p>
        </w:tc>
        <w:tc>
          <w:tcPr>
            <w:tcW w:w="35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Sama dengan Pasal 372, yaitu dengan sengaja dan melawan hukum memiliki barang yang seluruhnya atau sebagian kepunyaan orang lain yang ada dalam kekuasaannya bukan karena kejahatan</w:t>
            </w:r>
          </w:p>
        </w:tc>
        <w:tc>
          <w:tcPr>
            <w:tcW w:w="357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Dengan sengaja dan melawan hukum memiliki barang yang seluruhnya atau sebagian kepunyaan orang lain yang ada dalam kekuasaannya bukan karena kejahatan</w:t>
            </w:r>
          </w:p>
        </w:tc>
      </w:tr>
      <w:tr>
        <w:trPr>
          <w:cantSplit/>
        </w:trPr>
        <w:tc>
          <w:tcPr>
            <w:tcW w:w="1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Unsur pembeda</w:t>
            </w:r>
          </w:p>
        </w:tc>
        <w:tc>
          <w:tcPr>
            <w:tcW w:w="35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Penguasaan atas barang disebabkan adanya hubungan kerja, karena pencarian, atau karena mendapat upah untuk itu</w:t>
            </w:r>
          </w:p>
        </w:tc>
        <w:tc>
          <w:tcPr>
            <w:tcW w:w="357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Tidak mensyaratkan sumber penguasaan tertentu</w:t>
            </w:r>
          </w:p>
        </w:tc>
      </w:tr>
      <w:tr>
        <w:trPr>
          <w:cantSplit/>
        </w:trPr>
        <w:tc>
          <w:tcPr>
            <w:tcW w:w="1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Ancaman pidana</w:t>
            </w:r>
          </w:p>
        </w:tc>
        <w:tc>
          <w:tcPr>
            <w:tcW w:w="35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Penjara paling lama 5 tahun, tanpa alternatif pidana denda</w:t>
            </w:r>
          </w:p>
        </w:tc>
        <w:tc>
          <w:tcPr>
            <w:tcW w:w="357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Penjara paling lama 4 tahun atau pidana denda</w:t>
            </w:r>
          </w:p>
        </w:tc>
      </w:tr>
      <w:tr>
        <w:trPr>
          <w:cantSplit/>
        </w:trPr>
        <w:tc>
          <w:tcPr>
            <w:tcW w:w="1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Kesesuaian dengan fakta</w:t>
            </w:r>
          </w:p>
        </w:tc>
        <w:tc>
          <w:tcPr>
            <w:tcW w:w="35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Sesuai; terdakwa memperoleh penguasaan atas uang tagihan karena tugasnya berdasarkan perjanjian kerja</w:t>
            </w:r>
          </w:p>
        </w:tc>
        <w:tc>
          <w:tcPr>
            <w:tcW w:w="357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Unsurnya terpenuhi, tetapi tidak menggambarkan sumber kepercayaan yang disalahgunakan</w:t>
            </w:r>
          </w:p>
        </w:tc>
      </w:tr>
      <w:tr>
        <w:trPr>
          <w:cantSplit/>
        </w:trPr>
        <w:tc>
          <w:tcPr>
            <w:tcW w:w="19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Padanan dalam KUHP Nasional</w:t>
            </w:r>
          </w:p>
        </w:tc>
        <w:tc>
          <w:tcPr>
            <w:tcW w:w="35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Pasal 488: penjara paling lama 5 tahun atau pidana denda paling banyak kategori V</w:t>
            </w:r>
          </w:p>
        </w:tc>
        <w:tc>
          <w:tcPr>
            <w:tcW w:w="357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Pasal 486: penjara paling lama 4 tahun atau pidana denda paling banyak kategori IV</w:t>
            </w:r>
          </w:p>
        </w:tc>
      </w:tr>
    </w:tbl>
    <w:p>
      <w:pPr>
        <w:spacing w:before="60" w:after="180" w:line="240" w:lineRule="auto"/>
        <w:ind w:left="567" w:right="322"/>
        <w:jc w:val="left"/>
        <w:rPr>
          <w:rFonts w:ascii="Segoe UI" w:hAnsi="Segoe UI" w:cs="Segoe UI"/>
          <w:i/>
          <w:iCs/>
          <w:sz w:val="18"/>
          <w:szCs w:val="18"/>
        </w:rPr>
      </w:pPr>
      <w:r>
        <w:rPr>
          <w:rFonts w:ascii="Segoe UI" w:hAnsi="Segoe UI" w:cs="Segoe UI"/>
          <w:i/>
          <w:iCs/>
          <w:sz w:val="18"/>
          <w:szCs w:val="18"/>
        </w:rPr>
        <w:t xml:space="preserve">Sumber: Diolah dari Putusan Pengadilan Negeri Makassar Nomor 1339/Pid.B/2023/PN Mks (2023), Kitab Undang-Undang Hukum Pidana, dan UU No. 1 Tahun 2023</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pemilihan bentuk subsidairitas dalam perkara ini tepat dan bukan sekadar kebiasaan praktik. Tabel 1 memperlihatkan bahwa Pasal 374 tidak merumuskan perbuatan yang berbeda dari Pasal 372, melainkan mengulang seluruh unsurnya dan menambahkan satu unsur pemberat berupa sumber penguasaan. Hubungan antarketentuan yang demikian bersifat bertingkat, bukan sejajar, sehingga bentuk yang sesuai memang subsidairitas dan bukan alternatif. Andaikata bentuk alternatif yang dipilih, hubungan bertingkat itu justru menjadi kabur karena kedua lapis diperlakukan saling mengecualikan.</w:t>
      </w:r>
    </w:p>
    <w:p>
      <w:pPr>
        <w:pStyle w:val="IEEEParagraph"/>
        <w:ind w:left="567" w:right="322" w:firstLine="567"/>
        <w:rPr>
          <w:rFonts w:ascii="Segoe UI" w:hAnsi="Segoe UI" w:cs="Segoe UI"/>
          <w:sz w:val="22"/>
          <w:szCs w:val="22"/>
        </w:rPr>
      </w:pPr>
      <w:r>
        <w:rPr>
          <w:rFonts w:ascii="Segoe UI" w:hAnsi="Segoe UI" w:cs="Segoe UI"/>
          <w:sz w:val="22"/>
          <w:szCs w:val="22"/>
        </w:rPr>
        <w:t xml:space="preserve">Ketepatan tersebut juga tampak dari sisi pembuktian. Karena unsur pokok kedua ketentuan sama, pembuktian dakwaan primair dengan sendirinya mencakup pembuktian dakwaan subsidair; yang tersisa hanyalah pembuktian unsur pemberat. Konsekuensinya, unsur hubungan kerja seharusnya memperoleh perhatian tersendiri karena justru unsur itulah satu-satunya pembeda antara kedua lapis. Dalam perkara ini unsur tersebut memiliki dasar yang kuat, yaitu perjanjian kerja waktu tidak tertentu, upah bulanan, wilayah penugasan, dan uraian tugas penagihan yang seluruhnya terurai dalam fakta persidangan.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Perlu ditegaskan pula bahwa perkara ini tidak dapat dikualifikasikan sebagai penggelapan ringan. Peraturan Mahkamah Agung Nomor 2 Tahun 2012 menaikkan batas nilai pada ketentuan penggelapan ringan menjadi dua juta lima ratus ribu rupiah, sedangkan kerugian dalam perkara ini mencapai lebih dari delapan puluh satu juta rupiah. Secara yuridis, besaran itu menempatkan perbuatan terdakwa jauh di luar jangkauan ketentuan penggelapan ringan, sehingga tidak terdapat keraguan mengenai jalur perkara yang ditempuh.</w:t>
      </w:r>
    </w:p>
    <w:p>
      <w:pPr>
        <w:pStyle w:val="IEEEParagraph"/>
        <w:ind w:left="567" w:right="322"/>
      </w:pPr>
    </w:p>
    <w:p>
      <w:pPr>
        <w:pStyle w:val="Heading2"/>
        <w:ind w:right="322"/>
        <w:rPr>
          <w:rStyle w:val="mediumtext"/>
        </w:rPr>
      </w:pPr>
      <w:r>
        <w:rPr>
          <w:rStyle w:val="mediumtext"/>
        </w:rPr>
        <w:t xml:space="preserve">3.2 Pertimbangan Hakim, Proporsionalitas Pidana, dan Celah Pengendalian Internal</w:t>
      </w:r>
    </w:p>
    <w:p>
      <w:pPr>
        <w:pStyle w:val="IEEEParagraph"/>
        <w:ind w:left="567" w:right="322" w:firstLine="567"/>
        <w:rPr>
          <w:rFonts w:ascii="Segoe UI" w:hAnsi="Segoe UI" w:cs="Segoe UI"/>
          <w:sz w:val="22"/>
          <w:szCs w:val="22"/>
        </w:rPr>
      </w:pPr>
      <w:r>
        <w:rPr>
          <w:rFonts w:ascii="Segoe UI" w:hAnsi="Segoe UI" w:cs="Segoe UI"/>
          <w:sz w:val="22"/>
          <w:szCs w:val="22"/>
        </w:rPr>
        <w:t xml:space="preserve">Majelis hakim mempertimbangkan dakwaan primair lebih dahulu dan menguji dua unsur, yaitu unsur barang siapa dan unsur dengan sengaja dan melawan hukum mengakui sebagai milik sendiri barang kepunyaan orang lain yang ada dalam kekuasaannya bukan karena kejahatan, yang disebabkan adanya hubungan kerja, pencarian, atau upah. Unsur pertama dinilai terpenuhi karena identitas terdakwa sesuai surat dakwaan dan diakui sendiri olehnya. Unsur kedua dinilai terpenuhi berdasarkan fakta mengenai status kekaryawanan, uraian tugas, penerimaan uang tagihan, dan tidak disetorkannya uang tersebut kepada perusahaan. Majelis kemudian menjatuhkan pidana penjara satu tahun sepuluh bulan dengan keadaan memberatkan berupa perbuatan terdakwa yang merugikan perusahaan.</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konstruksi pertimbangan tersebut dapat dipertanggungjawabkan secara yuridis karena setiap unsur dihubungkan dengan fakta yang bersumber pada keterangan saksi, pengakuan terdakwa, dan barang bukti berupa faktur penjualan, surat jalan, hasil audit internal, nota yang dinyatakan tidak sesuai keadaan sebenarnya, serta bukti transfer. Catatan yang dapat dikemukakan adalah bahwa unsur pemberat berupa hubungan kerja dilebur ke dalam satu unsur panjang bersama unsur pokok. Karena unsur itulah satu-satunya pembeda antara dakwaan primair dan subsidair, penguraiannya sebagai butir tersendiri akan membuat alasan pemilihan dakwaan primair terlihat lebih terang dalam putusan (Mulyadi, 2009).</w:t>
      </w:r>
    </w:p>
    <w:p>
      <w:pPr>
        <w:pStyle w:val="IEEEParagraph"/>
        <w:ind w:left="567" w:right="322" w:firstLine="567"/>
        <w:rPr>
          <w:rFonts w:ascii="Segoe UI" w:hAnsi="Segoe UI" w:cs="Segoe UI"/>
          <w:sz w:val="22"/>
          <w:szCs w:val="22"/>
        </w:rPr>
      </w:pPr>
      <w:r>
        <w:rPr>
          <w:rFonts w:ascii="Segoe UI" w:hAnsi="Segoe UI" w:cs="Segoe UI"/>
          <w:sz w:val="22"/>
          <w:szCs w:val="22"/>
        </w:rPr>
        <w:t xml:space="preserve">Terhadap berat pidana, penilaian perlu dinyatakan secara terukur. Ancaman pada Pasal 374 adalah pidana penjara paling lama lima tahun. Frasa paling lama menunjukkan batas atas dan bukan patokan yang seharusnya dijatuhkan, sehingga pidana satu tahun sepuluh bulan sesungguhnya berada pada kisaran tiga puluh tujuh persen dari ancaman maksimum. Proporsi tersebut tidak dapat disebut rendah bagi delik yang tidak memiliki ancaman minimum khusus. Pandangan yang menyatakan pidana terlalu ringan karenanya perlu diletakkan pada tempat yang tepat: yang menjadi persoalan bukan lamanya pidana penjara, melainkan tiadanya jawaban terhadap kerugian yang diderita perusahaan.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Persoalan itu memiliki dasar struktural. Pasal 374 hanya mengancam pidana penjara tanpa alternatif pidana denda, sehingga mekanisme finansial yang paling sederhana pun tidak tersedia. Amar putusan juga tidak memuat pembebanan pemulihan kerugian, padahal besarannya telah terbukti melalui hasil audit internal dan bukti transfer, sehingga perusahaan tetap tidak dipulihkan meskipun terdakwa dinyatakan bersalah. Padahal hukum acara pidana menyediakan mekanisme penggabungan perkara gugatan ganti kerugian dalam perkara pidana yang sedang berjalan, yang tidak tampak digunakan.</w:t>
      </w:r>
    </w:p>
    <w:p>
      <w:pPr>
        <w:pStyle w:val="IEEEParagraph"/>
        <w:ind w:left="567" w:right="322" w:firstLine="567"/>
        <w:rPr>
          <w:rFonts w:ascii="Segoe UI" w:hAnsi="Segoe UI" w:cs="Segoe UI"/>
          <w:sz w:val="22"/>
          <w:szCs w:val="22"/>
        </w:rPr>
      </w:pPr>
      <w:r>
        <w:rPr>
          <w:rFonts w:ascii="Segoe UI" w:hAnsi="Segoe UI" w:cs="Segoe UI"/>
          <w:sz w:val="22"/>
          <w:szCs w:val="22"/>
        </w:rPr>
        <w:t xml:space="preserve">Selain persoalan pemulihan, fakta persidangan dalam perkara ini menyimpan informasi yang jarang dimanfaatkan dalam kajian hukum pidana, yaitu gambaran mengenai celah prosedur yang memungkinkan perbuatan berlangsung. Tabel 2 menyarikan titik-titik rawan tersebut berikut implikasinya.</w:t>
      </w:r>
    </w:p>
    <w:p>
      <w:pPr>
        <w:keepNext/>
        <w:keepLines/>
        <w:spacing w:before="120" w:after="60" w:line="240" w:lineRule="auto"/>
        <w:ind w:left="567" w:right="322"/>
        <w:jc w:val="left"/>
        <w:rPr>
          <w:rFonts w:ascii="Segoe UI" w:hAnsi="Segoe UI" w:cs="Segoe UI"/>
          <w:sz w:val="20"/>
          <w:szCs w:val="20"/>
        </w:rPr>
      </w:pPr>
      <w:r>
        <w:rPr>
          <w:rFonts w:ascii="Segoe UI" w:hAnsi="Segoe UI" w:cs="Segoe UI"/>
          <w:b/>
          <w:bCs/>
          <w:sz w:val="20"/>
          <w:szCs w:val="20"/>
        </w:rPr>
        <w:t xml:space="preserve">Tabel 2. </w:t>
      </w:r>
      <w:r>
        <w:rPr>
          <w:rFonts w:ascii="Segoe UI" w:hAnsi="Segoe UI" w:cs="Segoe UI"/>
          <w:sz w:val="20"/>
          <w:szCs w:val="20"/>
        </w:rPr>
        <w:t xml:space="preserve">Titik Rawan Prosedur yang Terungkap dalam Fakta Persidangan dan Implikasinya</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2100"/>
        <w:gridCol w:w="3400"/>
        <w:gridCol w:w="3526"/>
      </w:tblGrid>
      <w:tr>
        <w:trPr>
          <w:cantSplit/>
          <w:tblHeader/>
        </w:trPr>
        <w:tc>
          <w:tcPr>
            <w:tcW w:w="21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Titik Rawan</w:t>
            </w:r>
          </w:p>
        </w:tc>
        <w:tc>
          <w:tcPr>
            <w:tcW w:w="34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Fakta dalam Putusan</w:t>
            </w:r>
          </w:p>
        </w:tc>
        <w:tc>
          <w:tcPr>
            <w:tcW w:w="3526"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Implikasi</w:t>
            </w:r>
          </w:p>
        </w:tc>
      </w:tr>
      <w:tr>
        <w:trPr>
          <w:cantSplit/>
        </w:trPr>
        <w:tc>
          <w:tcPr>
            <w:tcW w:w="21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Waktu penagihan</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Penagihan dilakukan kepada pelanggan sebelum faktur jatuh tempo</w:t>
            </w:r>
          </w:p>
        </w:tc>
        <w:tc>
          <w:tcPr>
            <w:tcW w:w="35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Perusahaan tidak mengetahui bahwa pembayaran telah diterima lebih awal</w:t>
            </w:r>
          </w:p>
        </w:tc>
      </w:tr>
      <w:tr>
        <w:trPr>
          <w:cantSplit/>
        </w:trPr>
        <w:tc>
          <w:tcPr>
            <w:tcW w:w="21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Penguasaan dokumen tagihan</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Faktur penjualan dipegang tenaga penjualan dan langsung diserahkan kepada pelanggan setelah menerima uang</w:t>
            </w:r>
          </w:p>
        </w:tc>
        <w:tc>
          <w:tcPr>
            <w:tcW w:w="35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Bukti pelunasan berpindah kepada pelanggan tanpa tercatat pada perusahaan</w:t>
            </w:r>
          </w:p>
        </w:tc>
      </w:tr>
      <w:tr>
        <w:trPr>
          <w:cantSplit/>
        </w:trPr>
        <w:tc>
          <w:tcPr>
            <w:tcW w:w="21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Saluran pembayaran</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Pembayaran diterima secara tunai dan sebagian melalui transfer ke rekening pribadi tenaga penjualan</w:t>
            </w:r>
          </w:p>
        </w:tc>
        <w:tc>
          <w:tcPr>
            <w:tcW w:w="35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Aliran dana keluar dari kendali dan pencatatan perusahaan</w:t>
            </w:r>
          </w:p>
        </w:tc>
      </w:tr>
      <w:tr>
        <w:trPr>
          <w:cantSplit/>
        </w:trPr>
        <w:tc>
          <w:tcPr>
            <w:tcW w:w="21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Keandalan dokumen</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Terdapat nota toko yang dinyatakan tidak sesuai dengan keadaan sebenarnya</w:t>
            </w:r>
          </w:p>
        </w:tc>
        <w:tc>
          <w:tcPr>
            <w:tcW w:w="35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Dokumen dapat dibuat tanpa mekanisme pemeriksaan silang</w:t>
            </w:r>
          </w:p>
        </w:tc>
      </w:tr>
      <w:tr>
        <w:trPr>
          <w:cantSplit/>
        </w:trPr>
        <w:tc>
          <w:tcPr>
            <w:tcW w:w="21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Mekanisme deteksi</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Penyimpangan baru diketahui ketika perusahaan menghubungi pelanggan pada saat faktur jatuh tempo</w:t>
            </w:r>
          </w:p>
        </w:tc>
        <w:tc>
          <w:tcPr>
            <w:tcW w:w="35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Deteksi bersifat pasif dan baru bekerja setelah kerugian terakumulasi</w:t>
            </w:r>
          </w:p>
        </w:tc>
      </w:tr>
    </w:tbl>
    <w:p>
      <w:pPr>
        <w:spacing w:before="60" w:after="180" w:line="240" w:lineRule="auto"/>
        <w:ind w:left="567" w:right="322"/>
        <w:jc w:val="left"/>
        <w:rPr>
          <w:rFonts w:ascii="Segoe UI" w:hAnsi="Segoe UI" w:cs="Segoe UI"/>
          <w:i/>
          <w:iCs/>
          <w:sz w:val="18"/>
          <w:szCs w:val="18"/>
        </w:rPr>
      </w:pPr>
      <w:r>
        <w:rPr>
          <w:rFonts w:ascii="Segoe UI" w:hAnsi="Segoe UI" w:cs="Segoe UI"/>
          <w:i/>
          <w:iCs/>
          <w:sz w:val="18"/>
          <w:szCs w:val="18"/>
        </w:rPr>
        <w:t xml:space="preserve">Sumber: Diolah dari Putusan Pengadilan Negeri Makassar Nomor 1339/Pid.B/2023/PN Mks (2023)</w:t>
      </w:r>
    </w:p>
    <w:p>
      <w:pPr>
        <w:pStyle w:val="IEEEParagraph"/>
        <w:ind w:left="567" w:right="322" w:firstLine="567"/>
        <w:rPr>
          <w:rFonts w:ascii="Segoe UI" w:hAnsi="Segoe UI" w:cs="Segoe UI"/>
          <w:sz w:val="22"/>
          <w:szCs w:val="22"/>
        </w:rPr>
      </w:pPr>
      <w:r>
        <w:rPr>
          <w:rFonts w:ascii="Segoe UI" w:hAnsi="Segoe UI" w:cs="Segoe UI"/>
          <w:sz w:val="22"/>
          <w:szCs w:val="22"/>
        </w:rPr>
        <w:t xml:space="preserve">Tabel 2 memperlihatkan bahwa perbuatan terdakwa tidak berlangsung karena kecanggihan modus, melainkan karena tersedianya ruang pada prosedur yang berlaku. Temuan ini penting karena mengubah letak pembicaraan mengenai pencegahan. Selama ini pencegahan penggelapan dalam hubungan kerja kerap diletakkan pada beratnya ancaman pidana, padahal ancaman pidana bekerja sesudah perbuatan terjadi, sedangkan celah prosedur bekerja sebelum perbuatan terjadi. Jika dikaitkan dengan pandangan bahwa penegakan hukum tidak dapat dipahami secara mekanis melainkan harus menjangkau keadaan nyata yang melingkupinya (Hartono, 2010), maka pembacaan atas fakta persidangan semacam ini justru memberi sumbangan praktis yang tidak diperoleh dari analisis unsur semata.</w:t>
      </w:r>
    </w:p>
    <w:p>
      <w:pPr>
        <w:pStyle w:val="IEEEParagraph"/>
        <w:ind w:left="567" w:right="322" w:firstLine="567"/>
        <w:rPr>
          <w:rFonts w:ascii="Segoe UI" w:hAnsi="Segoe UI" w:cs="Segoe UI"/>
          <w:sz w:val="22"/>
          <w:szCs w:val="22"/>
        </w:rPr>
      </w:pPr>
      <w:r>
        <w:rPr>
          <w:rFonts w:ascii="Segoe UI" w:hAnsi="Segoe UI" w:cs="Segoe UI"/>
          <w:sz w:val="22"/>
          <w:szCs w:val="22"/>
        </w:rPr>
        <w:t xml:space="preserve">Motif terdakwa memperkuat kesimpulan tersebut. Uang hasil penagihan digunakan untuk membayar pinjaman daring dan berjudi daring, yaitu kebutuhan yang berulang dan mendesak. Terdakwa merupakan karyawan tetap yang menerima upah bulanan, sehingga perbuatannya tidak bersumber pada ketiadaan penghasilan melainkan pada tekanan utang yang terus berjalan. Argumentasi tersebut dapat dipahami karena kesengajaan dalam hukum pidana menuntut adanya kehendak dan pengetahuan atas akibat perbuatan (Farid, 2018), dan kehendak itu memang terbukti; namun dari sudut pencegahan, sebab yang mendorong kehendak tersebut tetap perlu diperhatikan agar perbuatan serupa tidak berulang pada pelaku lain.</w:t>
      </w:r>
    </w:p>
    <w:p>
      <w:pPr>
        <w:pStyle w:val="IEEEParagraph"/>
        <w:ind w:left="567" w:right="322" w:firstLine="567"/>
        <w:rPr>
          <w:rFonts w:ascii="Segoe UI" w:hAnsi="Segoe UI" w:cs="Segoe UI"/>
          <w:sz w:val="22"/>
          <w:szCs w:val="22"/>
        </w:rPr>
      </w:pPr>
      <w:r>
        <w:rPr>
          <w:rFonts w:ascii="Segoe UI" w:hAnsi="Segoe UI" w:cs="Segoe UI"/>
          <w:sz w:val="22"/>
          <w:szCs w:val="22"/>
        </w:rPr>
        <w:t xml:space="preserve">Dari perspektif transisional, ketentuan yang diterapkan dalam perkara ini telah memperoleh padanan dalam kodifikasi yang baru. Sejak 2 Januari 2026 berlaku Undang-Undang Nomor 1 Tahun 2023, yang menempatkan penggelapan dalam bentuk pokok pada Pasal 486 dan penggelapan karena hubungan kerja, profesi, atau upah pada Pasal 488. Ancaman pidana penjaranya tetap paling lama lima tahun sehingga terdapat kesinambungan kebijakan pemidanaan, tetapi kodifikasi baru menambahkan alternatif pidana denda paling banyak kategori V yang sebelumnya tidak tersedia pada Pasal 374. Penambahan itu memberi ruang bagi hakim untuk menjatuhkan pidana yang lebih sepadan dengan besaran kerugian.</w:t>
      </w:r>
    </w:p>
    <w:p>
      <w:pPr>
        <w:pStyle w:val="IEEEParagraph"/>
        <w:ind w:left="567" w:right="322" w:firstLine="567"/>
        <w:rPr>
          <w:rFonts w:ascii="Segoe UI" w:hAnsi="Segoe UI" w:cs="Segoe UI"/>
          <w:sz w:val="22"/>
          <w:szCs w:val="22"/>
        </w:rPr>
      </w:pPr>
      <w:r>
        <w:rPr>
          <w:rFonts w:ascii="Segoe UI" w:hAnsi="Segoe UI" w:cs="Segoe UI"/>
          <w:sz w:val="22"/>
          <w:szCs w:val="22"/>
        </w:rPr>
        <w:t xml:space="preserve">Meskipun demikian, penambahan alternatif denda belum menjawab persoalan pemulihan, sebab denda disetorkan ke kas negara dan bukan kepada pihak yang dirugikan. Hukum acara pidana yang berlaku sejak Januari 2026 memang memberi tempat pada mekanisme keadilan restoratif dengan kriteria ancaman pidana penjara paling lama lima tahun, sehingga delik ini secara ancaman berada dalam jangkauannya. Namun mekanisme itu justru menuntut terealisasinya pemulihan sebagai syarat. Pemulihan kerugian dengan demikian merupakan simpul yang menentukan, baik pada jalur pemidanaan maupun pada jalur penyelesaian di luar pengadilan.</w:t>
      </w:r>
    </w:p>
    <w:p w14:paraId="17E3A12B" w14:textId="5E31EBBF" w:rsidR="001E0508" w:rsidRPr="00EA7E75" w:rsidRDefault="00985560" w:rsidP="00985560">
      <w:pPr>
        <w:pStyle w:val="Heading3"/>
        <w:ind w:left="993" w:hanging="426"/>
      </w:pPr>
      <w:r>
        <w:t>KESIMPULAN</w:t>
      </w:r>
    </w:p>
    <w:p>
      <w:pPr>
        <w:pStyle w:val="IEEEParagraph"/>
        <w:ind w:left="567" w:right="322" w:firstLine="567"/>
        <w:rPr>
          <w:rFonts w:ascii="Segoe UI" w:hAnsi="Segoe UI" w:cs="Segoe UI"/>
          <w:sz w:val="22"/>
          <w:szCs w:val="22"/>
        </w:rPr>
      </w:pPr>
      <w:r>
        <w:rPr>
          <w:rFonts w:ascii="Segoe UI" w:hAnsi="Segoe UI" w:cs="Segoe UI"/>
          <w:sz w:val="22"/>
          <w:szCs w:val="22"/>
        </w:rPr>
        <w:t xml:space="preserve">Dakwaan penuntut umum dalam Putusan Pengadilan Negeri Makassar Nomor 1339/Pid.B/2023/PN Mks disusun dalam bentuk subsidairitas, yaitu dakwaan primair Pasal 374 dan dakwaan subsidair Pasal 372 Kitab Undang-Undang Hukum Pidana. Bentuk tersebut tepat dan bukan sekadar kebiasaan praktik, sebab Pasal 374 tidak merumuskan perbuatan yang berbeda dari Pasal 372 melainkan mengulang seluruh unsurnya dan menambahkan satu unsur pemberat berupa sumber penguasaan yang berasal dari hubungan kerja, pencarian, atau upah. Hubungan antarketentuan yang bertingkat seperti itu memang menuntut bentuk subsidairitas dan bukan bentuk alternatif. Unsur pemberat tersebut juga memiliki dasar faktual yang kuat berupa perjanjian kerja waktu tidak tertentu, upah bulanan, wilayah penugasan, dan uraian tugas penagihan. Perkara ini pun tidak dapat dikualifikasikan sebagai penggelapan ringan karena kerugiannya jauh melampaui batas nilai yang ditetapkan Peraturan Mahkamah Agung Nomor 2 Tahun 2012.</w:t>
      </w:r>
    </w:p>
    <w:p>
      <w:pPr>
        <w:pStyle w:val="IEEEParagraph"/>
        <w:ind w:left="567" w:right="322" w:firstLine="567"/>
        <w:rPr>
          <w:rFonts w:ascii="Segoe UI" w:hAnsi="Segoe UI" w:cs="Segoe UI"/>
          <w:sz w:val="22"/>
          <w:szCs w:val="22"/>
        </w:rPr>
      </w:pPr>
      <w:r>
        <w:rPr>
          <w:rFonts w:ascii="Segoe UI" w:hAnsi="Segoe UI" w:cs="Segoe UI"/>
          <w:sz w:val="22"/>
          <w:szCs w:val="22"/>
        </w:rPr>
        <w:t xml:space="preserve">Pertimbangan hukum majelis hakim diarahkan pada dakwaan primair dan menguji dua unsur yang keduanya dihubungkan dengan fakta persidangan berupa keterangan saksi, pengakuan terdakwa, faktur penjualan, surat jalan, hasil audit internal, nota yang dinyatakan tidak sesuai keadaan sebenarnya, serta bukti transfer, sehingga penalaran majelis dapat dipertanggungjawabkan. Catatan yang tersisa adalah bahwa unsur pemberat berupa hubungan kerja dilebur bersama unsur pokok dalam satu rumusan panjang, padahal unsur itulah satu-satunya pembeda antara kedua lapis dakwaan. Adapun penilaian bahwa pidana satu tahun sepuluh bulan terlalu ringan perlu diluruskan, sebab ancaman paling lama lima tahun merupakan batas atas dan bukan patokan, sehingga pidana yang dijatuhkan berada pada kisaran tiga puluh tujuh persen dari ancaman maksimum. Kesenjangan yang sesungguhnya terletak pada tiadanya pemulihan kerugian perusahaan sebesar lebih dari delapan puluh satu juta rupiah dan pada celah prosedur penagihan yang justru terungkap dari fakta persidangan.</w:t>
      </w:r>
    </w:p>
    <w:p>
      <w:pPr>
        <w:pStyle w:val="IEEEParagraph"/>
        <w:ind w:left="567" w:right="322" w:firstLine="567"/>
        <w:rPr>
          <w:rFonts w:ascii="Segoe UI" w:hAnsi="Segoe UI" w:cs="Segoe UI"/>
          <w:sz w:val="22"/>
          <w:szCs w:val="22"/>
        </w:rPr>
      </w:pPr>
      <w:r>
        <w:rPr>
          <w:rFonts w:ascii="Segoe UI" w:hAnsi="Segoe UI" w:cs="Segoe UI"/>
          <w:sz w:val="22"/>
          <w:szCs w:val="22"/>
        </w:rPr>
        <w:t xml:space="preserve">Berdasarkan temuan tersebut, penulis menyarankan agar penuntut umum menguraikan besaran kerugian secara terperinci sejak surat dakwaan dan tuntutan sehingga dapat menjadi dasar bagi permintaan pemulihan, serta agar pihak yang dirugikan memanfaatkan mekanisme penggabungan perkara gugatan ganti kerugian dalam hukum acara pidana. Bagi hakim, unsur pemberat pada dakwaan bertingkat sebaiknya diuraikan sebagai butir tersendiri agar alasan pemilihan dakwaan primair terlihat terang, dan pertimbangan pemidanaan sebaiknya menghubungkan secara eksplisit besaran kerugian yang terbukti dengan pidana yang dijatuhkan. Bagi pelaku usaha, celah prosedur yang terungkap dalam perkara ini perlu ditutup melalui pemisahan fungsi penagihan dan penerimaan uang, larangan penerimaan pembayaran pada rekening pribadi, konfirmasi langsung kepada pelanggan atas setiap pelunasan, serta rekonsiliasi berkala yang tidak menunggu tanggal jatuh tempo. Bagi pengembangan ilmu, penelitian lanjutan disarankan menguji seberapa sering pemulihan kerugian benar-benar dijatuhkan dalam perkara penggelapan dalam hubungan kerja sesudah berlakunya kodifikasi pidana yang baru.</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Pr>
          <w:rFonts w:ascii="Segoe UI" w:hAnsi="Segoe UI" w:cs="Segoe UI"/>
          <w:b/>
          <w:bCs/>
          <w:sz w:val="24"/>
          <w:lang w:val="sv-SE"/>
        </w:rPr>
        <w:t>Referensi</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Efendi, J. (2018). </w:t>
      </w:r>
      <w:r>
        <w:rPr>
          <w:rFonts w:cs="Segoe UI"/>
          <w:sz w:val="20"/>
          <w:szCs w:val="20"/>
          <w:i/>
          <w:iCs/>
        </w:rPr>
        <w:t xml:space="preserve">Rekonstruksi dasar pertimbangan hukum hakim berbasis nilai-nilai hukum dan rasa keadilan yang hidup dalam masyarakat</w:t>
      </w:r>
      <w:r>
        <w:rPr>
          <w:rFonts w:cs="Segoe UI"/>
          <w:sz w:val="20"/>
          <w:szCs w:val="20"/>
        </w:rPr>
        <w:t xml:space="preserve">. Prenadamedia Group.</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Effendi, E. (2011). </w:t>
      </w:r>
      <w:r>
        <w:rPr>
          <w:rFonts w:cs="Segoe UI"/>
          <w:sz w:val="20"/>
          <w:szCs w:val="20"/>
          <w:i/>
          <w:iCs/>
        </w:rPr>
        <w:t xml:space="preserve">Hukum pidana Indonesia: Suatu pengantar</w:t>
      </w:r>
      <w:r>
        <w:rPr>
          <w:rFonts w:cs="Segoe UI"/>
          <w:sz w:val="20"/>
          <w:szCs w:val="20"/>
        </w:rPr>
        <w:t xml:space="preserve">. Refika Aditama.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Farid, A. Z. A. (2018). </w:t>
      </w:r>
      <w:r>
        <w:rPr>
          <w:rFonts w:cs="Segoe UI"/>
          <w:sz w:val="20"/>
          <w:szCs w:val="20"/>
          <w:i/>
          <w:iCs/>
        </w:rPr>
        <w:t xml:space="preserve">Hukum pidana 1</w:t>
      </w:r>
      <w:r>
        <w:rPr>
          <w:rFonts w:cs="Segoe UI"/>
          <w:sz w:val="20"/>
          <w:szCs w:val="20"/>
        </w:rPr>
        <w:t xml:space="preserve">. Sinar Grafika.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Gunadi, I., &amp; Efendi, J. (2019). </w:t>
      </w:r>
      <w:r>
        <w:rPr>
          <w:rFonts w:cs="Segoe UI"/>
          <w:sz w:val="20"/>
          <w:szCs w:val="20"/>
          <w:i/>
          <w:iCs/>
        </w:rPr>
        <w:t xml:space="preserve">Cepat &amp; mudah memahami hukum pidana</w:t>
      </w:r>
      <w:r>
        <w:rPr>
          <w:rFonts w:cs="Segoe UI"/>
          <w:sz w:val="20"/>
          <w:szCs w:val="20"/>
        </w:rPr>
        <w:t xml:space="preserve">. Prenadamedia Group.</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Harahap, M. Y. (2010). </w:t>
      </w:r>
      <w:r>
        <w:rPr>
          <w:rFonts w:cs="Segoe UI"/>
          <w:sz w:val="20"/>
          <w:szCs w:val="20"/>
          <w:i/>
          <w:iCs/>
        </w:rPr>
        <w:t xml:space="preserve">Pembahasan permasalahan dan penerapan KUHAP: Pemeriksaan sidang pengadilan, banding, kasasi, dan peninjauan kembali</w:t>
      </w:r>
      <w:r>
        <w:rPr>
          <w:rFonts w:cs="Segoe UI"/>
          <w:sz w:val="20"/>
          <w:szCs w:val="20"/>
        </w:rPr>
        <w:t xml:space="preserve">. Sinar Grafika.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Hartanti, D. N., Titahelu, J. A. S., &amp; Taufik, I. (2021). Penerapan sanksi bagi pelaku tindak pidana penggelapan uang cash on delivery. </w:t>
      </w:r>
      <w:r>
        <w:rPr>
          <w:rFonts w:cs="Segoe UI"/>
          <w:sz w:val="20"/>
          <w:szCs w:val="20"/>
          <w:i/>
          <w:iCs/>
        </w:rPr>
        <w:t xml:space="preserve">TATOHI: Jurnal Ilmu Hukum, 1</w:t>
      </w:r>
      <w:r>
        <w:rPr>
          <w:rFonts w:cs="Segoe UI"/>
          <w:sz w:val="20"/>
          <w:szCs w:val="20"/>
        </w:rPr>
        <w:t xml:space="preserve">(2), 111–120.</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Hartono. (2010). </w:t>
      </w:r>
      <w:r>
        <w:rPr>
          <w:rFonts w:cs="Segoe UI"/>
          <w:sz w:val="20"/>
          <w:szCs w:val="20"/>
          <w:i/>
          <w:iCs/>
        </w:rPr>
        <w:t xml:space="preserve">Penyidikan &amp; penegakan hukum pidana melalui pendekatan hukum progresif</w:t>
      </w:r>
      <w:r>
        <w:rPr>
          <w:rFonts w:cs="Segoe UI"/>
          <w:sz w:val="20"/>
          <w:szCs w:val="20"/>
        </w:rPr>
        <w:t xml:space="preserve">. Sinar Grafika.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Ilyas, A. (2012). </w:t>
      </w:r>
      <w:r>
        <w:rPr>
          <w:rFonts w:cs="Segoe UI"/>
          <w:sz w:val="20"/>
          <w:szCs w:val="20"/>
          <w:i/>
          <w:iCs/>
        </w:rPr>
        <w:t xml:space="preserve">Asas-asas hukum pidana: Memahami tindak pidana dan pertanggungjawaban pidana sebagai syarat pemidanaan</w:t>
      </w:r>
      <w:r>
        <w:rPr>
          <w:rFonts w:cs="Segoe UI"/>
          <w:sz w:val="20"/>
          <w:szCs w:val="20"/>
        </w:rPr>
        <w:t xml:space="preserve">. Rangkang Education &amp; PuKAP Indonesia.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Karim, M. S., &amp; Haeranah. (2016). </w:t>
      </w:r>
      <w:r>
        <w:rPr>
          <w:rFonts w:cs="Segoe UI"/>
          <w:sz w:val="20"/>
          <w:szCs w:val="20"/>
          <w:i/>
          <w:iCs/>
        </w:rPr>
        <w:t xml:space="preserve">Delik-delik di dalam kodifikasi</w:t>
      </w:r>
      <w:r>
        <w:rPr>
          <w:rFonts w:cs="Segoe UI"/>
          <w:sz w:val="20"/>
          <w:szCs w:val="20"/>
        </w:rPr>
        <w:t xml:space="preserve">. Pustaka Pena Press.</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Marzuki, P. M. (2014). </w:t>
      </w:r>
      <w:r>
        <w:rPr>
          <w:rFonts w:cs="Segoe UI"/>
          <w:sz w:val="20"/>
          <w:szCs w:val="20"/>
          <w:i/>
          <w:iCs/>
        </w:rPr>
        <w:t xml:space="preserve">Penelitian hukum</w:t>
      </w:r>
      <w:r>
        <w:rPr>
          <w:rFonts w:cs="Segoe UI"/>
          <w:sz w:val="20"/>
          <w:szCs w:val="20"/>
        </w:rPr>
        <w:t xml:space="preserve">. Prenadamedia Group.</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Mulyadi, L. (2009). </w:t>
      </w:r>
      <w:r>
        <w:rPr>
          <w:rFonts w:cs="Segoe UI"/>
          <w:sz w:val="20"/>
          <w:szCs w:val="20"/>
          <w:i/>
          <w:iCs/>
        </w:rPr>
        <w:t xml:space="preserve">Pergeseran perspektif dan praktik dari Mahkamah Agung mengenai putusan</w:t>
      </w:r>
      <w:r>
        <w:rPr>
          <w:rFonts w:cs="Segoe UI"/>
          <w:sz w:val="20"/>
          <w:szCs w:val="20"/>
        </w:rPr>
        <w:t xml:space="preserve">. Citra Aditya Bakti.</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Prodjodikoro, W. (2014). </w:t>
      </w:r>
      <w:r>
        <w:rPr>
          <w:rFonts w:cs="Segoe UI"/>
          <w:sz w:val="20"/>
          <w:szCs w:val="20"/>
          <w:i/>
          <w:iCs/>
        </w:rPr>
        <w:t xml:space="preserve">Asas-asas hukum pidana di Indonesia</w:t>
      </w:r>
      <w:r>
        <w:rPr>
          <w:rFonts w:cs="Segoe UI"/>
          <w:sz w:val="20"/>
          <w:szCs w:val="20"/>
        </w:rPr>
        <w:t xml:space="preserve">. Refika Aditama.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Soesilo, R. (1995). </w:t>
      </w:r>
      <w:r>
        <w:rPr>
          <w:rFonts w:cs="Segoe UI"/>
          <w:sz w:val="20"/>
          <w:szCs w:val="20"/>
          <w:i/>
          <w:iCs/>
        </w:rPr>
        <w:t xml:space="preserve">Kitab Undang-Undang Hukum Pidana (KUHP) serta komentar-komentarnya lengkap pasal demi pasal</w:t>
      </w:r>
      <w:r>
        <w:rPr>
          <w:rFonts w:cs="Segoe UI"/>
          <w:sz w:val="20"/>
          <w:szCs w:val="20"/>
        </w:rPr>
        <w:t xml:space="preserve">. Politeia.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Putusan Pengadilan Negeri Makassar Nomor 1339/Pid.B/2023/PN Mks (2023).</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Peraturan Mahkamah Agung Republik Indonesia Nomor 2 Tahun 2012 tentang Penyesuaian Batasan Tindak Pidana Ringan dan Jumlah Denda dalam KUHP.</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Kitab Undang-Undang Hukum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8 Tahun 1981 tentang Hukum Acara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48 Tahun 2009 tentang Kekuasaan Kehakiman.</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 Tahun 2023 tentang Kitab Undang-Undang Hukum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20 Tahun 2025 tentang Kitab Undang-Undang Hukum Acara Pidana.</w:t>
      </w:r>
    </w:p>
    <w:p w14:paraId="5E84CDA2" w14:textId="24799592" w:rsidR="003A4408" w:rsidRPr="003A4408" w:rsidRDefault="003A4408" w:rsidP="003A4408">
      <w:pPr>
        <w:spacing w:line="240" w:lineRule="auto"/>
        <w:ind w:left="1418" w:right="645" w:hanging="851"/>
        <w:rPr>
          <w:rFonts w:cs="Segoe UI"/>
        </w:rPr>
      </w:pPr>
      <w:r>
        <w:rPr>
          <w:rFonts w:cs="Segoe UI"/>
        </w:rPr>
        <w:fldChar w:fldCharType="end"/>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I Wayan Dada Yogiantara</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