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Proporsionalitas Pemidanaan dan Pemulihan Kerugian Korban dalam Perkara Penipuan Daring Berlanjut</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 xml:space="preserve">Gleen Rooi Molle</w:t>
      </w:r>
      <w:r>
        <w:rPr>
          <w:rFonts w:cs="Segoe UI"/>
          <w:b/>
          <w:bCs/>
          <w:sz w:val="24"/>
          <w:szCs w:val="24"/>
          <w:lang w:val="fi-FI"/>
          <w:vertAlign w:val="superscript"/>
        </w:rPr>
        <w:t>1</w:t>
      </w:r>
      <w:r>
        <w:rPr>
          <w:rFonts w:cs="Segoe UI"/>
          <w:b/>
          <w:bCs/>
          <w:sz w:val="24"/>
          <w:szCs w:val="24"/>
          <w:lang w:val="fi-FI"/>
        </w:rPr>
        <w:t>*</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r>
        <w:rPr>
          <w:rFonts w:cs="Segoe UI"/>
          <w:i/>
          <w:sz w:val="18"/>
          <w:szCs w:val="18"/>
          <w:lang w:val="en-US"/>
        </w:rPr>
        <w:t xml:space="preserve">gleen@ukipaulus.ac.id (Korespondensi)*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online fraud, continuing offence, proportionality of punishment, victim restitution, electronic transaction law, single indictment</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 xml:space="preserve">penipuan daring, perbuatan berlanjut, proporsionalitas pemidanaan, pemulihan kerugian korban, transaksi elektronik, dakwaan tunggal</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Online fraud through marketplace advertising causes losses that are individual in nature yet accumulate across many victims, while criminal proceedings rarely restore what victims have lost. This study examines the panel's legal reasoning and evaluates the resulting judgment in Makassar District Court Decision Number 1186/Pid.Sus/2023/PN Mks. The research is normative legal research employing a legal case study approach supported by statutory and conceptual approaches, analysed descriptively and qualitatively. The findings show that the prosecutor framed a single charge under the electronic transaction law in conjunction with the continuing-offence provision, and that all four elements were established consistently with the trial facts, so that the reasoning is defensible. The study argues, however, that the outcome is disproportionate in a specific and demonstrable sense: the fine imposed equals one percent of the statutory maximum and roughly seven percent of the aggregate loss of three victims, while the judgment orders no restitution at all. The continuing-offence construction itself caps the punishment, since multiple victims do not multiply the penalty. The study proposes restitution rather than heavier imprisonment as the more appropriate response.</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Penipuan daring melalui iklan lokapasar menimbulkan kerugian yang bersifat individual namun terakumulasi pada banyak korban, sementara proses pidana jarang memulihkan apa yang hilang dari korban. Penelitian ini mengkaji pertimbangan hukum majelis hakim dan menilai putusan yang dihasilkan dalam Putusan Pengadilan Negeri Makassar Nomor 1186/Pid.Sus/2023/PN Mks. Penelitian ini merupakan penelitian hukum normatif dengan pendekatan studi kasus hukum yang ditopang pendekatan peraturan perundang-undangan dan pendekatan konseptual, dianalisis secara deskriptif kualitatif. Hasil penelitian menunjukkan penuntut umum menyusun dakwaan tunggal berdasarkan undang-undang informasi dan transaksi elektronik juncto ketentuan perbuatan berlanjut, dan keempat unsurnya dinyatakan terpenuhi secara konsisten dengan fakta persidangan, sehingga penalaran majelis dapat dipertanggungjawabkan. Penelitian ini berargumentasi bahwa ketidakproporsionalan terletak pada titik yang spesifik dan dapat ditunjukkan, yaitu denda yang dijatuhkan hanya satu persen dari ancaman maksimum dan sekitar tujuh persen dari total kerugian tiga korban, sementara amar putusan sama sekali tidak memuat pemulihan kerugian. Konstruksi perbuatan berlanjut sendiri membatasi berat pidana karena banyaknya korban tidak melipatgandakan ancaman. Penelitian ini mengusulkan pemulihan kerugian, bukan pemberatan pidana penjara, sebagai respons yang lebih tepat.</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 Disetujui: ……………, Dipublikasikan: …………… (diisi oleh panitia)</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t>PENDAHULUAN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Perkembangan teknologi informasi dan komunikasi telah mengubah pola perdagangan dari transaksi konvensional menjadi transaksi elektronik yang tidak lagi dibatasi ruang dan waktu. Perubahan itu membawa kemudahan, tetapi sekaligus melahirkan bentuk kejahatan baru dengan modus operandi yang berbeda dari kejahatan konvensional (Sitompul, 2012). Kejahatan siber memiliki ciri khas berupa pelaku yang menguasai penggunaan internet beserta aplikasinya, sehingga perbuatannya sulit dilacak dengan cara penyidikan biasa (Widodo, 2011).</w:t>
      </w:r>
    </w:p>
    <w:p>
      <w:pPr>
        <w:pStyle w:val="IEEEParagraph"/>
        <w:ind w:left="567" w:right="322" w:firstLine="567"/>
        <w:rPr>
          <w:rFonts w:ascii="Segoe UI" w:hAnsi="Segoe UI" w:cs="Segoe UI"/>
          <w:sz w:val="22"/>
          <w:szCs w:val="22"/>
        </w:rPr>
      </w:pPr>
      <w:r>
        <w:rPr>
          <w:rFonts w:ascii="Segoe UI" w:hAnsi="Segoe UI" w:cs="Segoe UI"/>
          <w:sz w:val="22"/>
          <w:szCs w:val="22"/>
        </w:rPr>
        <w:t xml:space="preserve">Salah satu bentuk kejahatan yang paling banyak memanfaatkan media daring adalah penipuan. Secara prinsip penipuan daring tidak berbeda dari penipuan konvensional; yang membedakan hanyalah sarana perbuatannya berupa sistem elektronik (Maskun, 2013). Perbedaan sarana itu membawa akibat yuridis yang tidak sederhana, sebab lokapasar memungkinkan pelaku menjangkau banyak calon korban secara serentak dengan satu unggahan, membangun kepercayaan melalui foto barang, nota, dan stempel toko, serta menyamarkan aliran dana melalui rekening berlapis atas nama pihak lain.</w:t>
      </w:r>
    </w:p>
    <w:p>
      <w:pPr>
        <w:pStyle w:val="IEEEParagraph"/>
        <w:ind w:left="567" w:right="322" w:firstLine="567"/>
        <w:rPr>
          <w:rFonts w:ascii="Segoe UI" w:hAnsi="Segoe UI" w:cs="Segoe UI"/>
          <w:sz w:val="22"/>
          <w:szCs w:val="22"/>
        </w:rPr>
      </w:pPr>
      <w:r>
        <w:rPr>
          <w:rFonts w:ascii="Segoe UI" w:hAnsi="Segoe UI" w:cs="Segoe UI"/>
          <w:sz w:val="22"/>
          <w:szCs w:val="22"/>
        </w:rPr>
        <w:t xml:space="preserve">Secara normatif, perbuatan tersebut dijerat dengan Pasal 28 ayat (1) Undang-Undang Nomor 11 Tahun 2008 sebagaimana diubah dengan Undang-Undang Nomor 19 Tahun 2016, yang melarang penyebaran berita bohong dan menyesatkan yang mengakibatkan kerugian konsumen dalam transaksi elektronik, dengan ancaman pidana pada Pasal 45A ayat (1) berupa pidana penjara paling lama enam tahun dan/atau denda paling banyak satu miliar rupiah. Undang-undang tersebut memang tidak memuat rumusan delik penipuan secara tegas, tetapi unsur yang terkandung di dalamnya menyerupai penipuan sebagaimana diatur dalam Kitab Undang-Undang Hukum Pidana, sehingga penuntut umum kerap dihadapkan pada pilihan mengenai ketentuan mana yang paling tepat diterapkan (Syarief dkk., 2015).</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Persoalan pemilihan ketentuan itu bertumpu pada asas legalitas. Suatu perbuatan hanya dapat dipidana apabila memenuhi seluruh unsur yang dirumuskan dalam ketentuan pidana yang berlaku, dan penafsiran tidak boleh memperluas jangkauan norma melampaui teksnya (Hamzah, 2008). Dalam delik yang akibatnya berupa kerugian harta benda, ketepatan memilih ketentuan tidak hanya menentukan ancaman pidana, tetapi juga menentukan mekanisme apa saja yang tersedia untuk memulihkan posisi korban, sebab tiap ketentuan membawa serta perangkat hukum acaranya sendiri (Ekaputra, 2015).</w:t>
      </w:r>
    </w:p>
    <w:p>
      <w:pPr>
        <w:pStyle w:val="IEEEParagraph"/>
        <w:ind w:left="567" w:right="322" w:firstLine="567"/>
        <w:rPr>
          <w:rFonts w:ascii="Segoe UI" w:hAnsi="Segoe UI" w:cs="Segoe UI"/>
          <w:sz w:val="22"/>
          <w:szCs w:val="22"/>
        </w:rPr>
      </w:pPr>
      <w:r>
        <w:rPr>
          <w:rFonts w:ascii="Segoe UI" w:hAnsi="Segoe UI" w:cs="Segoe UI"/>
          <w:sz w:val="22"/>
          <w:szCs w:val="22"/>
        </w:rPr>
        <w:t xml:space="preserve">Putusan Pengadilan Negeri Makassar Nomor 1186/Pid.Sus/2023/PN Mks memperlihatkan persoalan tersebut secara konkret. Terdakwa memasang iklan penjualan granit dengan harga murah pada lokapasar sebuah media sosial dengan nama akun dan toko yang tidak sesuai dengan keadaan sebenarnya, lalu menerima transfer dana dari beberapa korban tanpa pernah mengirimkan barang. Perbuatan itu berlangsung berulang dalam rentang beberapa bulan dan menimbulkan kerugian pada tiga saksi korban. Majelis hakim menyatakan terdakwa terbukti bersalah dan menjatuhkan pidana penjara dua tahun serta denda sepuluh juta rupiah.</w:t>
      </w:r>
    </w:p>
    <w:p>
      <w:pPr>
        <w:pStyle w:val="IEEEParagraph"/>
        <w:ind w:left="567" w:right="322" w:firstLine="567"/>
        <w:rPr>
          <w:rFonts w:ascii="Segoe UI" w:hAnsi="Segoe UI" w:cs="Segoe UI"/>
          <w:sz w:val="22"/>
          <w:szCs w:val="22"/>
        </w:rPr>
      </w:pPr>
      <w:r>
        <w:rPr>
          <w:rFonts w:ascii="Segoe UI" w:hAnsi="Segoe UI" w:cs="Segoe UI"/>
          <w:sz w:val="22"/>
          <w:szCs w:val="22"/>
        </w:rPr>
        <w:t xml:space="preserve">Masalah hukum yang muncul bersifat berlapis. Pada lapis pertama terdapat pertanyaan mengenai kualitas pertimbangan hakim, yaitu apakah seluruh unsur yang disyaratkan telah diuji dan dihubungkan dengan fakta persidangan secara memadai. Pada lapis kedua terdapat pertanyaan mengenai putusan yang dihasilkan, yaitu apakah pidana yang dijatuhkan proporsional dengan kesalahan dan kerugian yang terbukti, serta apakah putusan menjawab kebutuhan korban yang kehilangan hartanya. Pertanyaan kedua penting karena dalam delik yang kerugiannya bersifat harta benda, pemidanaan tanpa pemulihan menyisakan persoalan keadilan bagi korban.</w:t>
      </w:r>
    </w:p>
    <w:p>
      <w:pPr>
        <w:pStyle w:val="IEEEParagraph"/>
        <w:ind w:left="567" w:right="322" w:firstLine="567"/>
        <w:rPr>
          <w:rFonts w:ascii="Segoe UI" w:hAnsi="Segoe UI" w:cs="Segoe UI"/>
          <w:sz w:val="22"/>
          <w:szCs w:val="22"/>
        </w:rPr>
      </w:pPr>
      <w:r>
        <w:rPr>
          <w:rFonts w:ascii="Segoe UI" w:hAnsi="Segoe UI" w:cs="Segoe UI"/>
          <w:sz w:val="22"/>
          <w:szCs w:val="22"/>
        </w:rPr>
        <w:t xml:space="preserve">Kajian mengenai penipuan daring di Indonesia telah berkembang cukup lama. Arief (2007) menelaah perkembangan tindak pidana mayantara, Suseno (2012) mengkaji persoalan yurisdiksi kejahatan siber, sedangkan Syarief dkk. (2015) menganalisis penipuan pada transaksi jual beli daring. Kajian-kajian tersebut berjasa membangun kerangka konseptual, tetapi umumnya berhenti pada tataran norma dan belum menghubungkan berat pidana yang dijatuhkan dengan besaran kerugian korban dalam satu putusan secara terukur.</w:t>
      </w:r>
    </w:p>
    <w:p>
      <w:pPr>
        <w:pStyle w:val="IEEEParagraph"/>
        <w:ind w:left="567" w:right="322" w:firstLine="567"/>
        <w:rPr>
          <w:rFonts w:ascii="Segoe UI" w:hAnsi="Segoe UI" w:cs="Segoe UI"/>
          <w:sz w:val="22"/>
          <w:szCs w:val="22"/>
        </w:rPr>
      </w:pPr>
      <w:r>
        <w:rPr>
          <w:rFonts w:ascii="Segoe UI" w:hAnsi="Segoe UI" w:cs="Segoe UI"/>
          <w:sz w:val="22"/>
          <w:szCs w:val="22"/>
        </w:rPr>
        <w:t xml:space="preserve">Berbeda dengan penelitian sebelumnya, penelitian ini menilai putusan dengan cara menyandingkan besaran kerugian tiap korban, ancaman pidana maksimum, dan pidana yang dijatuhkan, sehingga penilaian mengenai proporsionalitas tidak berhenti pada pernyataan bahwa pidana terlalu ringan, melainkan dapat ditunjukkan pada bagian mana ketidakseimbangan itu terletak. Penelitian ini juga menempatkan konstruksi perbuatan berlanjut sebagai variabel yang turut menentukan berat pidana, suatu aspek yang jarang dibahas dalam kajian penipuan daring.</w:t>
      </w:r>
    </w:p>
    <w:p>
      <w:pPr>
        <w:pStyle w:val="IEEEParagraph"/>
        <w:ind w:left="567" w:right="322" w:firstLine="567"/>
        <w:rPr>
          <w:rFonts w:ascii="Segoe UI" w:hAnsi="Segoe UI" w:cs="Segoe UI"/>
          <w:sz w:val="22"/>
          <w:szCs w:val="22"/>
        </w:rPr>
      </w:pPr>
      <w:r>
        <w:rPr>
          <w:rFonts w:ascii="Segoe UI" w:hAnsi="Segoe UI" w:cs="Segoe UI"/>
          <w:sz w:val="22"/>
          <w:szCs w:val="22"/>
        </w:rPr>
        <w:t xml:space="preserve">Tujuan penelitian ini adalah, pertama, menganalisis pertimbangan hukum hakim dalam tindak pidana penipuan melalui media sosial berdasarkan Putusan Nomor 1186/Pid.Sus/2023/PN Mks; kedua, melakukan analisis yuridis terhadap putusan hakim dalam perkara tersebut. Secara teoretis, penelitian ini berkontribusi pada kajian hukum pidana siber dengan memperlihatkan hubungan antara konstruksi perbuatan berlanjut, proporsionalitas pemidanaan, dan pemulihan kerugian korban. Secara praktis, hasil penelitian ini dapat menjadi rujukan bagi penuntut umum dan hakim dalam menyusun tuntutan serta putusan yang tidak hanya menghukum pelaku, tetapi juga memperhatikan posisi korban.</w:t>
      </w:r>
    </w:p>
    <w:p w14:paraId="1382B788" w14:textId="468BF956" w:rsidR="001E0508" w:rsidRPr="001C62FB" w:rsidRDefault="001C62FB" w:rsidP="00955050">
      <w:pPr>
        <w:pStyle w:val="Heading3"/>
        <w:ind w:left="1134" w:right="322" w:hanging="425"/>
      </w:pPr>
      <w:r>
        <w:t xml:space="preserve">METODOLOGI PENELITIAN </w:t>
      </w:r>
    </w:p>
    <w:p>
      <w:pPr>
        <w:pStyle w:val="IEEEParagraph"/>
        <w:ind w:left="567" w:right="322" w:firstLine="567"/>
        <w:rPr>
          <w:rFonts w:ascii="Segoe UI" w:hAnsi="Segoe UI" w:cs="Segoe UI"/>
          <w:sz w:val="22"/>
          <w:szCs w:val="22"/>
        </w:rPr>
      </w:pPr>
      <w:r>
        <w:rPr>
          <w:rFonts w:ascii="Segoe UI" w:hAnsi="Segoe UI" w:cs="Segoe UI"/>
          <w:sz w:val="22"/>
          <w:szCs w:val="22"/>
        </w:rPr>
        <w:t xml:space="preserve">Bagian ini menguraikan cara penelitian dilakukan agar temuan yang disajikan dapat ditelusuri dan diuji kembali. Uraian mencakup jenis dan pendekatan penelitian, lokasi penelitian, jenis dan sumber data, teknik pengumpulan data, teknik analisis, serta batasan penelitian.</w:t>
      </w:r>
    </w:p>
    <w:p>
      <w:pPr>
        <w:pStyle w:val="IEEEParagraph"/>
        <w:ind w:left="567" w:right="322"/>
      </w:pPr>
    </w:p>
    <w:p>
      <w:pPr>
        <w:pStyle w:val="Heading2"/>
        <w:ind w:right="322"/>
        <w:rPr>
          <w:rStyle w:val="mediumtext"/>
        </w:rPr>
      </w:pPr>
      <w:r>
        <w:rPr>
          <w:rStyle w:val="mediumtext"/>
        </w:rPr>
        <w:t xml:space="preserve">2.1 Jenis dan Pendekatan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merupakan penelitian hukum normatif, yaitu penelitian yang berfokus pada pengkajian pertimbangan hukum hakim dan norma yang menjadi dasarnya. Pilihan tersebut ditentukan oleh karakter kedua permasalahan yang dirumuskan, yang sama-sama menuntut pengujian atas kesesuaian antara norma dan fakta hukum, bukan pengukuran variabel maupun pengujian hipotesis.</w:t>
      </w:r>
    </w:p>
    <w:p>
      <w:pPr>
        <w:pStyle w:val="IEEEParagraph"/>
        <w:ind w:left="567" w:right="322" w:firstLine="567"/>
        <w:rPr>
          <w:rFonts w:ascii="Segoe UI" w:hAnsi="Segoe UI" w:cs="Segoe UI"/>
          <w:sz w:val="22"/>
          <w:szCs w:val="22"/>
        </w:rPr>
      </w:pPr>
      <w:r>
        <w:rPr>
          <w:rFonts w:ascii="Segoe UI" w:hAnsi="Segoe UI" w:cs="Segoe UI"/>
          <w:sz w:val="22"/>
          <w:szCs w:val="22"/>
        </w:rPr>
        <w:t xml:space="preserve">Pendekatan utama yang digunakan adalah pendekatan studi kasus hukum (</w:t>
      </w:r>
      <w:r>
        <w:rPr>
          <w:rFonts w:ascii="Segoe UI" w:hAnsi="Segoe UI" w:cs="Segoe UI"/>
          <w:sz w:val="22"/>
          <w:szCs w:val="22"/>
          <w:i/>
          <w:iCs/>
        </w:rPr>
        <w:t xml:space="preserve">legal case study approach</w:t>
      </w:r>
      <w:r>
        <w:rPr>
          <w:rFonts w:ascii="Segoe UI" w:hAnsi="Segoe UI" w:cs="Segoe UI"/>
          <w:sz w:val="22"/>
          <w:szCs w:val="22"/>
        </w:rPr>
        <w:t xml:space="preserve">) terhadap Putusan Pengadilan Negeri Makassar Nomor 1186/Pid.Sus/2023/PN Mks. Pendekatan tersebut ditopang oleh pendekatan peraturan perundang-undangan (</w:t>
      </w:r>
      <w:r>
        <w:rPr>
          <w:rFonts w:ascii="Segoe UI" w:hAnsi="Segoe UI" w:cs="Segoe UI"/>
          <w:sz w:val="22"/>
          <w:szCs w:val="22"/>
          <w:i/>
          <w:iCs/>
        </w:rPr>
        <w:t xml:space="preserve">statute approach</w:t>
      </w:r>
      <w:r>
        <w:rPr>
          <w:rFonts w:ascii="Segoe UI" w:hAnsi="Segoe UI" w:cs="Segoe UI"/>
          <w:sz w:val="22"/>
          <w:szCs w:val="22"/>
        </w:rPr>
        <w:t xml:space="preserve">) untuk menelaah rumusan unsur, ancaman pidana, dan ketentuan perbuatan berlanjut, serta pendekatan konseptual (</w:t>
      </w:r>
      <w:r>
        <w:rPr>
          <w:rFonts w:ascii="Segoe UI" w:hAnsi="Segoe UI" w:cs="Segoe UI"/>
          <w:sz w:val="22"/>
          <w:szCs w:val="22"/>
          <w:i/>
          <w:iCs/>
        </w:rPr>
        <w:t xml:space="preserve">conceptual approach</w:t>
      </w:r>
      <w:r>
        <w:rPr>
          <w:rFonts w:ascii="Segoe UI" w:hAnsi="Segoe UI" w:cs="Segoe UI"/>
          <w:sz w:val="22"/>
          <w:szCs w:val="22"/>
        </w:rPr>
        <w:t xml:space="preserve">) untuk mendudukkan konsep proporsionalitas pemidanaan, efek jera, dan pemulihan kerugian korban.</w:t>
      </w:r>
    </w:p>
    <w:p>
      <w:pPr>
        <w:pStyle w:val="IEEEParagraph"/>
        <w:ind w:left="567" w:right="322" w:firstLine="567"/>
        <w:rPr>
          <w:rFonts w:ascii="Segoe UI" w:hAnsi="Segoe UI" w:cs="Segoe UI"/>
          <w:sz w:val="22"/>
          <w:szCs w:val="22"/>
        </w:rPr>
      </w:pPr>
      <w:r>
        <w:rPr>
          <w:rFonts w:ascii="Segoe UI" w:hAnsi="Segoe UI" w:cs="Segoe UI"/>
          <w:sz w:val="22"/>
          <w:szCs w:val="22"/>
        </w:rPr>
        <w:t xml:space="preserve">Ketiga pendekatan tersebut bekerja secara berlapis. Pendekatan kasus dipakai untuk merekonstruksi fakta hukum dan penalaran majelis; pendekatan perundang-undangan dipakai untuk menguji apakah unsur yang diuji bersumber pada ketentuan yang didakwakan dan bagaimana ketentuan perbuatan berlanjut memengaruhi berat pidana; sedangkan pendekatan konseptual dipakai untuk menilai kelayakan pidana yang dijatuhkan. Perpaduan ini diperlukan karena permasalahan penelitian tidak berhenti pada pertanyaan apakah terdakwa terbukti bersalah, melainkan berlanjut pada pertanyaan apakah putusan yang dihasilkan sudah memadai.</w:t>
      </w:r>
    </w:p>
    <w:p>
      <w:pPr>
        <w:pStyle w:val="IEEEParagraph"/>
        <w:ind w:left="567" w:right="322"/>
      </w:pPr>
    </w:p>
    <w:p>
      <w:pPr>
        <w:pStyle w:val="Heading2"/>
        <w:ind w:right="322"/>
        <w:rPr>
          <w:rStyle w:val="mediumtext"/>
        </w:rPr>
      </w:pPr>
      <w:r>
        <w:rPr>
          <w:rStyle w:val="mediumtext"/>
        </w:rPr>
        <w:t xml:space="preserve">2.2 Lokasi Penelitian, Jenis dan Sumber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dilaksanakan di Pengadilan Negeri Makassar sebagai pengadilan yang menjatuhkan putusan yang dikaji. Data primer diperoleh dari lapangan dengan mengadakan wawancara secara langsung dengan pihak yang terkait dengan penelitian ini, sedangkan data sekunder diperoleh melalui studi kepustakaan berupa buku, peraturan perundang-undangan, dan dokumen lain yang berkaitan langsung dengan masalah yang diteliti.</w:t>
      </w:r>
    </w:p>
    <w:p>
      <w:pPr>
        <w:pStyle w:val="IEEEParagraph"/>
        <w:ind w:left="567" w:right="322" w:firstLine="567"/>
        <w:rPr>
          <w:rFonts w:ascii="Segoe UI" w:hAnsi="Segoe UI" w:cs="Segoe UI"/>
          <w:sz w:val="22"/>
          <w:szCs w:val="22"/>
        </w:rPr>
      </w:pPr>
      <w:r>
        <w:rPr>
          <w:rFonts w:ascii="Segoe UI" w:hAnsi="Segoe UI" w:cs="Segoe UI"/>
          <w:sz w:val="22"/>
          <w:szCs w:val="22"/>
        </w:rPr>
        <w:t xml:space="preserve">Bahan hukum primer terdiri atas Putusan Nomor 1186/Pid.Sus/2023/PN Mks beserta surat dakwaan, keterangan saksi dan terdakwa, serta daftar barang bukti yang melekat padanya; Kitab Undang-Undang Hukum Pidana, khususnya ketentuan mengenai perbuatan berlanjut; Undang-Undang Nomor 8 Tahun 1981 tentang Hukum Acara Pidana, khususnya ketentuan mengenai penggabungan perkara gugatan ganti kerugian; Undang-Undang Nomor 11 Tahun 2008 beserta perubahannya melalui Undang-Undang Nomor 19 Tahun 2016 dan Undang-Undang Nomor 1 Tahun 2024; serta Undang-Undang Nomor 20 Tahun 2025 tentang Kitab Undang-Undang Hukum Acara Pidana. Bahan hukum sekunder berupa buku hukum pidana dan hukum pidana siber, artikel jurnal ilmiah, dan pendapat para ahli yang relevan.</w:t>
      </w:r>
    </w:p>
    <w:p>
      <w:pPr>
        <w:pStyle w:val="IEEEParagraph"/>
        <w:ind w:left="567" w:right="322"/>
      </w:pPr>
    </w:p>
    <w:p>
      <w:pPr>
        <w:pStyle w:val="Heading2"/>
        <w:ind w:right="322"/>
        <w:rPr>
          <w:rStyle w:val="mediumtext"/>
        </w:rPr>
      </w:pPr>
      <w:r>
        <w:rPr>
          <w:rStyle w:val="mediumtext"/>
        </w:rPr>
        <w:t xml:space="preserve">2.3 Teknik Pengumpulan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Pengumpulan data ditempuh melalui penelitian kepustakaan (</w:t>
      </w:r>
      <w:r>
        <w:rPr>
          <w:rFonts w:ascii="Segoe UI" w:hAnsi="Segoe UI" w:cs="Segoe UI"/>
          <w:sz w:val="22"/>
          <w:szCs w:val="22"/>
          <w:i/>
          <w:iCs/>
        </w:rPr>
        <w:t xml:space="preserve">library research</w:t>
      </w:r>
      <w:r>
        <w:rPr>
          <w:rFonts w:ascii="Segoe UI" w:hAnsi="Segoe UI" w:cs="Segoe UI"/>
          <w:sz w:val="22"/>
          <w:szCs w:val="22"/>
        </w:rPr>
        <w:t xml:space="preserve">), yaitu penelaahan bahan pustaka termasuk buku, peraturan perundang-undangan, dan dokumen lain yang berkaitan dengan materi penelitian, serta melalui penelitian lapangan (</w:t>
      </w:r>
      <w:r>
        <w:rPr>
          <w:rFonts w:ascii="Segoe UI" w:hAnsi="Segoe UI" w:cs="Segoe UI"/>
          <w:sz w:val="22"/>
          <w:szCs w:val="22"/>
          <w:i/>
          <w:iCs/>
        </w:rPr>
        <w:t xml:space="preserve">field research</w:t>
      </w:r>
      <w:r>
        <w:rPr>
          <w:rFonts w:ascii="Segoe UI" w:hAnsi="Segoe UI" w:cs="Segoe UI"/>
          <w:sz w:val="22"/>
          <w:szCs w:val="22"/>
        </w:rPr>
        <w:t xml:space="preserve">) berupa pengamatan langsung, penelaahan, dan analisis terhadap pertimbangan hukum hakim pada perkara yang dikaji.</w:t>
      </w:r>
    </w:p>
    <w:p>
      <w:pPr>
        <w:pStyle w:val="IEEEParagraph"/>
        <w:ind w:left="567" w:right="322" w:firstLine="567"/>
        <w:rPr>
          <w:rFonts w:ascii="Segoe UI" w:hAnsi="Segoe UI" w:cs="Segoe UI"/>
          <w:sz w:val="22"/>
          <w:szCs w:val="22"/>
        </w:rPr>
      </w:pPr>
      <w:r>
        <w:rPr>
          <w:rFonts w:ascii="Segoe UI" w:hAnsi="Segoe UI" w:cs="Segoe UI"/>
          <w:sz w:val="22"/>
          <w:szCs w:val="22"/>
        </w:rPr>
        <w:t xml:space="preserve">Terhadap perubahan peraturan yang terjadi sesudah putusan dijatuhkan, penelusuran diarahkan pada teks undang-undang beserta ketentuan peralihannya, bukan pada tulisan populer, agar setiap pernyataan mengenai rumusan norma dan masa berlakunya dapat diverifikasi sumbernya. Bahan yang tidak dapat diverifikasi tidak digunakan sebagai dasar argumentasi.</w:t>
      </w:r>
    </w:p>
    <w:p>
      <w:pPr>
        <w:pStyle w:val="IEEEParagraph"/>
        <w:ind w:left="567" w:right="322"/>
      </w:pPr>
    </w:p>
    <w:p>
      <w:pPr>
        <w:pStyle w:val="Heading2"/>
        <w:ind w:right="322"/>
        <w:rPr>
          <w:rStyle w:val="mediumtext"/>
        </w:rPr>
      </w:pPr>
      <w:r>
        <w:rPr>
          <w:rStyle w:val="mediumtext"/>
        </w:rPr>
        <w:t xml:space="preserve">2.4 Teknik Analisis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Data yang diperoleh disusun, diuraikan, dan dianalisis secara kualitatif serta dipaparkan secara deskriptif. Analisis ditempuh melalui alur berjenjang, yaitu identifikasi fakta hukum yang terungkap di persidangan, identifikasi rumusan unsur pada ketentuan yang didakwakan, pengujian kesesuaian antara fakta dan unsur, penilaian atas pertimbangan majelis hakim, dan perumusan argumentasi penulis.</w:t>
      </w:r>
    </w:p>
    <w:p>
      <w:pPr>
        <w:pStyle w:val="IEEEParagraph"/>
        <w:ind w:left="567" w:right="322" w:firstLine="567"/>
        <w:rPr>
          <w:rFonts w:ascii="Segoe UI" w:hAnsi="Segoe UI" w:cs="Segoe UI"/>
          <w:sz w:val="22"/>
          <w:szCs w:val="22"/>
        </w:rPr>
      </w:pPr>
      <w:r>
        <w:rPr>
          <w:rFonts w:ascii="Segoe UI" w:hAnsi="Segoe UI" w:cs="Segoe UI"/>
          <w:sz w:val="22"/>
          <w:szCs w:val="22"/>
        </w:rPr>
        <w:t xml:space="preserve">Pada permasalahan kedua, analisis dilanjutkan dengan pengukuran proporsionalitas, yaitu menyandingkan besaran kerugian tiap saksi korban, ancaman pidana maksimum, dan pidana yang dijatuhkan, kemudian menghitung perbandingannya. Pengukuran ini dipakai bukan untuk menentukan angka pidana yang seharusnya, melainkan untuk menunjukkan secara terukur pada bagian mana ketidakseimbangan itu terletak, sehingga penilaian tidak berhenti pada kesan.</w:t>
      </w:r>
    </w:p>
    <w:p>
      <w:pPr>
        <w:pStyle w:val="IEEEParagraph"/>
        <w:ind w:left="567" w:right="322" w:firstLine="567"/>
        <w:rPr>
          <w:rFonts w:ascii="Segoe UI" w:hAnsi="Segoe UI" w:cs="Segoe UI"/>
          <w:sz w:val="22"/>
          <w:szCs w:val="22"/>
        </w:rPr>
      </w:pPr>
      <w:r>
        <w:rPr>
          <w:rFonts w:ascii="Segoe UI" w:hAnsi="Segoe UI" w:cs="Segoe UI"/>
          <w:sz w:val="22"/>
          <w:szCs w:val="22"/>
        </w:rPr>
        <w:t xml:space="preserve">Validitas analisis dijaga melalui dua cara. Pertama, setiap pernyataan mengenai fakta perkara dilacak kembali pada dokumen putusan sehingga tidak ada fakta yang ditambahkan dari luar berkas. Kedua, setiap penilaian terhadap berat pidana diuji dengan menyandingkannya pada pandangan yang berbeda, khususnya pandangan yang menekankan kemerdekaan hakim dan sifat hukum pidana sebagai sarana terakhir, agar argumentasi yang dibangun tidak berubah menjadi tuntutan pembalasan.</w:t>
      </w:r>
    </w:p>
    <w:p>
      <w:pPr>
        <w:pStyle w:val="IEEEParagraph"/>
        <w:ind w:left="567" w:right="322"/>
      </w:pPr>
    </w:p>
    <w:p>
      <w:pPr>
        <w:pStyle w:val="Heading2"/>
        <w:ind w:right="322"/>
        <w:rPr>
          <w:rStyle w:val="mediumtext"/>
        </w:rPr>
      </w:pPr>
      <w:r>
        <w:rPr>
          <w:rStyle w:val="mediumtext"/>
        </w:rPr>
        <w:t xml:space="preserve">2.5 Batasan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dibatasi pada satu putusan sehingga tidak dimaksudkan menggeneralisasi praktik peradilan perkara penipuan daring secara nasional; nilai penelitian terletak pada kedalaman analisis terhadap konstruksi penalaran hukum, bukan pada keterwakilan statistik. Penilaian terhadap regulasi terbaru dibatasi pada aspek rumusan unsur, ancaman pidana, dan mekanisme pemulihan kerugian, serta tidak mencakup evaluasi empiris atas penerapannya. Kesimpulan yang ditarik berlaku pada tataran konstruksi hukum dan bukan merupakan penilaian atas kinerja aparat tertentu.</w:t>
      </w:r>
    </w:p>
    <w:p w14:paraId="12B5585A" w14:textId="6E9841B4" w:rsidR="001E0508" w:rsidRPr="001C62FB" w:rsidRDefault="006F0069" w:rsidP="006F0069">
      <w:pPr>
        <w:pStyle w:val="Heading3"/>
        <w:ind w:left="1134" w:hanging="283"/>
      </w:pPr>
      <w:r>
        <w:rPr>
          <w:iCs/>
        </w:rPr>
        <w:t>HASIL DA</w:t>
      </w:r>
      <w:r>
        <w:t>N PEMBAHASAN</w:t>
      </w:r>
    </w:p>
    <w:p>
      <w:pPr>
        <w:pStyle w:val="IEEEParagraph"/>
        <w:ind w:left="567" w:right="322" w:firstLine="567"/>
        <w:rPr>
          <w:rFonts w:ascii="Segoe UI" w:hAnsi="Segoe UI" w:cs="Segoe UI"/>
          <w:sz w:val="22"/>
          <w:szCs w:val="22"/>
        </w:rPr>
      </w:pPr>
      <w:r>
        <w:rPr>
          <w:rFonts w:ascii="Segoe UI" w:hAnsi="Segoe UI" w:cs="Segoe UI"/>
          <w:sz w:val="22"/>
          <w:szCs w:val="22"/>
        </w:rPr>
        <w:t xml:space="preserve">Hasil penelitian dan pembahasan disajikan secara terpadu mengikuti dua rumusan masalah. Subbagian 3.1 menganalisis pertimbangan hukum majelis hakim, sedangkan subbagian 3.2 melakukan analisis yuridis terhadap putusan yang dihasilkan.</w:t>
      </w:r>
    </w:p>
    <w:p>
      <w:pPr>
        <w:pStyle w:val="IEEEParagraph"/>
        <w:ind w:left="567" w:right="322"/>
      </w:pPr>
    </w:p>
    <w:p>
      <w:pPr>
        <w:pStyle w:val="Heading2"/>
        <w:ind w:right="322"/>
        <w:rPr>
          <w:rStyle w:val="mediumtext"/>
        </w:rPr>
      </w:pPr>
      <w:r>
        <w:rPr>
          <w:rStyle w:val="mediumtext"/>
        </w:rPr>
        <w:t xml:space="preserve">3.1 Pertimbangan Hukum Hakim dan Pembuktian Unsur Tindak Pidana</w:t>
      </w:r>
    </w:p>
    <w:p>
      <w:pPr>
        <w:pStyle w:val="IEEEParagraph"/>
        <w:ind w:left="567" w:right="322" w:firstLine="567"/>
        <w:rPr>
          <w:rFonts w:ascii="Segoe UI" w:hAnsi="Segoe UI" w:cs="Segoe UI"/>
          <w:sz w:val="22"/>
          <w:szCs w:val="22"/>
        </w:rPr>
      </w:pPr>
      <w:r>
        <w:rPr>
          <w:rFonts w:ascii="Segoe UI" w:hAnsi="Segoe UI" w:cs="Segoe UI"/>
          <w:sz w:val="22"/>
          <w:szCs w:val="22"/>
        </w:rPr>
        <w:t xml:space="preserve">Fakta hukum yang menjadi dasar perkara dapat diringkas sebagai berikut. Sekitar April sampai Juni 2022 terdakwa memasang iklan penjualan granit dengan harga murah pada lokapasar sebuah media sosial menggunakan nama akun yang bukan namanya sendiri dan menyebut toko bernama Rumah Keramik yang beralamat di Kabupaten Maros. Kepada calon pembeli yang menghubungi nomor pesan instan miliknya, terdakwa mengirimkan foto granit, nota, dan stempel toko sehingga menimbulkan keyakinan bahwa transaksi tersebut sungguh-sungguh. Para korban kemudian mentransfer dana secara bertahap ke beberapa rekening yang ditunjuk terdakwa. Barang tidak pernah dikirim, nomor pesan instan tidak lagi dapat dihubungi, dan ketika salah seorang saksi mendatangi alamat toko ternyata toko tersebut telah lama tidak beroperasi.</w:t>
      </w:r>
    </w:p>
    <w:p>
      <w:pPr>
        <w:pStyle w:val="IEEEParagraph"/>
        <w:ind w:left="567" w:right="322" w:firstLine="567"/>
        <w:rPr>
          <w:rFonts w:ascii="Segoe UI" w:hAnsi="Segoe UI" w:cs="Segoe UI"/>
          <w:sz w:val="22"/>
          <w:szCs w:val="22"/>
        </w:rPr>
      </w:pPr>
      <w:r>
        <w:rPr>
          <w:rFonts w:ascii="Segoe UI" w:hAnsi="Segoe UI" w:cs="Segoe UI"/>
          <w:sz w:val="22"/>
          <w:szCs w:val="22"/>
        </w:rPr>
        <w:t xml:space="preserve">Atas peristiwa tersebut penuntut umum menyusun surat dakwaan berbentuk tunggal, yaitu Pasal 45A ayat (1) juncto Pasal 28 ayat (1) Undang-Undang Nomor 19 Tahun 2016 juncto Pasal 64 ayat (1) Kitab Undang-Undang Hukum Pidana. Bentuk tunggal dipilih ketika penuntut umum berkeyakinan hanya terdapat satu kualifikasi hukum yang tepat atas perbuatan terdakwa, sehingga pembuktiannya paling sederhana karena tidak ada dakwaan lain yang harus dipertimbangkan. Majelis hakim kemudian merumuskan empat unsur yang harus dibuktikan. Tabel 1 menyajikan unsur-unsur tersebut beserta fakta persidangan yang menjadi dasar penilaian majelis.</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1. </w:t>
      </w:r>
      <w:r>
        <w:rPr>
          <w:rFonts w:ascii="Segoe UI" w:hAnsi="Segoe UI" w:cs="Segoe UI"/>
          <w:sz w:val="20"/>
          <w:szCs w:val="20"/>
        </w:rPr>
        <w:t xml:space="preserve">Unsur Tindak Pidana yang Didakwakan, Fakta Persidangan, dan Penilaian Majelis Hakim</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2400"/>
        <w:gridCol w:w="3400"/>
        <w:gridCol w:w="3226"/>
      </w:tblGrid>
      <w:tr>
        <w:trPr>
          <w:cantSplit/>
          <w:tblHeader/>
        </w:trPr>
        <w:tc>
          <w:tcPr>
            <w:tcW w:w="24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Unsur</w:t>
            </w:r>
          </w:p>
        </w:tc>
        <w:tc>
          <w:tcPr>
            <w:tcW w:w="34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Fakta Persidangan yang Relevan</w:t>
            </w:r>
          </w:p>
        </w:tc>
        <w:tc>
          <w:tcPr>
            <w:tcW w:w="32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Penilaian Majelis Hakim</w:t>
            </w:r>
          </w:p>
        </w:tc>
      </w:tr>
      <w:tr>
        <w:trPr>
          <w:cantSplit/>
        </w:trPr>
        <w:tc>
          <w:tcPr>
            <w:tcW w:w="2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Setiap orang</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Terdakwa hadir di persidangan, membenarkan identitasnya, sehat jasmani dan rohani, serta tidak ditemukan alasan penghapus pertanggungjawaban</w:t>
            </w:r>
          </w:p>
        </w:tc>
        <w:tc>
          <w:tcPr>
            <w:tcW w:w="32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Terpenuhi; terdakwa dipandang sebagai subjek hukum yang mampu bertanggung jawab</w:t>
            </w:r>
          </w:p>
        </w:tc>
      </w:tr>
      <w:tr>
        <w:trPr>
          <w:cantSplit/>
        </w:trPr>
        <w:tc>
          <w:tcPr>
            <w:tcW w:w="2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Dengan sengaja dan tanpa hak</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Terdakwa memasang iklan dengan nama akun dan identitas toko yang tidak sesuai keadaan sebenarnya, serta mengirimkan foto barang, nota, dan stempel untuk meyakinkan calon pembeli</w:t>
            </w:r>
          </w:p>
        </w:tc>
        <w:tc>
          <w:tcPr>
            <w:tcW w:w="32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Terpenuhi; kesengajaan dan ketiadaan hak terbukti dari cara perbuatan dilakukan</w:t>
            </w:r>
          </w:p>
        </w:tc>
      </w:tr>
      <w:tr>
        <w:trPr>
          <w:cantSplit/>
        </w:trPr>
        <w:tc>
          <w:tcPr>
            <w:tcW w:w="2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Menyebarkan berita bohong dan menyesatkan yang mengakibatkan kerugian konsumen dalam transaksi elektronik</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Barang yang dijanjikan tidak pernah dikirim, alamat toko tidak beroperasi, dan para korban kehilangan dana yang telah ditransfer</w:t>
            </w:r>
          </w:p>
        </w:tc>
        <w:tc>
          <w:tcPr>
            <w:tcW w:w="32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Terpenuhi; kerugian konsumen dalam transaksi elektronik terbukti</w:t>
            </w:r>
          </w:p>
        </w:tc>
      </w:tr>
      <w:tr>
        <w:trPr>
          <w:cantSplit/>
        </w:trPr>
        <w:tc>
          <w:tcPr>
            <w:tcW w:w="2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Perbuatan berlanjut</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Perbuatan dilakukan berulang terhadap beberapa korban dalam rentang April sampai Juni 2022 dengan pola yang sama</w:t>
            </w:r>
          </w:p>
        </w:tc>
        <w:tc>
          <w:tcPr>
            <w:tcW w:w="32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Terpenuhi; perbuatan dinilai sebagai satu perbuatan berlanjut</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Putusan Pengadilan Negeri Makassar Nomor 1186/Pid.Sus/2023/PN Mks (2023)</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konstruksi pertimbangan majelis pada subbagian ini dapat dipertanggungjawabkan secara yuridis. Keempat unsur diuji berurutan dan masing-masing dihubungkan dengan fakta persidangan yang bersumber pada keterangan saksi, keterangan terdakwa, dan barang bukti berupa tangkapan layar percakapan serta bukti transfer. Penilaian atas unsur setiap orang juga tepat karena mengaitkan kemampuan bertanggung jawab dengan ketiadaan alasan penghapus pidana, sesuai dengan ajaran bahwa pemidanaan hanya dapat dijatuhkan kepada orang yang mampu bertanggung jawab (Ilyas, 2012).</w:t>
      </w:r>
    </w:p>
    <w:p>
      <w:pPr>
        <w:pStyle w:val="IEEEParagraph"/>
        <w:ind w:left="567" w:right="322" w:firstLine="567"/>
        <w:rPr>
          <w:rFonts w:ascii="Segoe UI" w:hAnsi="Segoe UI" w:cs="Segoe UI"/>
          <w:sz w:val="22"/>
          <w:szCs w:val="22"/>
        </w:rPr>
      </w:pPr>
      <w:r>
        <w:rPr>
          <w:rFonts w:ascii="Segoe UI" w:hAnsi="Segoe UI" w:cs="Segoe UI"/>
          <w:sz w:val="22"/>
          <w:szCs w:val="22"/>
        </w:rPr>
        <w:t xml:space="preserve">Pemilihan bentuk dakwaan tunggal juga dapat dipahami. Perbuatan terdakwa secara harfiah sesuai dengan rumusan Pasal 28 ayat (1), yaitu menyebarkan informasi tidak benar melalui sistem elektronik yang mengakibatkan kerugian konsumen dalam transaksi elektronik, sehingga tidak terdapat keraguan kualifikasi yang menuntut bentuk alternatif. Berbeda dengan ketentuan pemberatan yang menuntut perangkaian dengan pasal lain, Pasal 28 ayat (1) merupakan delik mandiri yang rumusan unsurnya berdiri sendiri, sehingga pembuktiannya lebih terarah.</w:t>
      </w:r>
    </w:p>
    <w:p>
      <w:pPr>
        <w:pStyle w:val="IEEEParagraph"/>
        <w:ind w:left="567" w:right="322" w:firstLine="567"/>
        <w:rPr>
          <w:rFonts w:ascii="Segoe UI" w:hAnsi="Segoe UI" w:cs="Segoe UI"/>
          <w:sz w:val="22"/>
          <w:szCs w:val="22"/>
        </w:rPr>
      </w:pPr>
      <w:r>
        <w:rPr>
          <w:rFonts w:ascii="Segoe UI" w:hAnsi="Segoe UI" w:cs="Segoe UI"/>
          <w:sz w:val="22"/>
          <w:szCs w:val="22"/>
        </w:rPr>
        <w:t xml:space="preserve">Pertanyaan yang wajar diajukan adalah mengapa perbuatan itu tidak dijerat dengan Pasal 378 Kitab Undang-Undang Hukum Pidana tentang penipuan. Rumusan penipuan konvensional mensyaratkan adanya perbuatan menggerakkan orang lain untuk menyerahkan barang, membuat utang, atau menghapuskan piutang dengan memakai nama palsu, martabat palsu, tipu muslihat, atau rangkaian kebohongan (Soesilo, 1996). Unsur-unsur itu sebenarnya juga tampak dalam perkara a quo. Perbedaannya terletak pada penekanan: Pasal 378 menitikberatkan pada perbuatan menggerakkan dan penyerahan barang, sedangkan Pasal 28 ayat (1) menitikberatkan pada penyebaran informasi tidak benar melalui sistem elektronik beserta akibat kerugian konsumen. Karena sarana elektronik justru menjadi inti modus dalam perkara ini, pilihan ketentuan yang bersifat khusus dapat dipertanggungjawabkan sesuai asas lex specialis derogat legi generali (Tongat, 2003). Meskipun demikian, pilihan itu membawa konsekuensi yang jarang disadari, yaitu hilangnya rujukan pada delik harta benda yang secara tradisional lebih dekat dengan gagasan pemulihan kerugian korban.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Penggunaan Pasal 64 ayat (1) Kitab Undang-Undang Hukum Pidana pun tepat secara doktrinal. Perbuatan berlanjut menuntut adanya kehendak yang sama, perbuatan sejenis, dan tenggang waktu yang tidak terlalu lama, dan ketiganya terpenuhi dalam perkara ini karena pola perbuatan terhadap ketiga korban sama dan berlangsung dalam rentang beberapa bulan (Chazawi, 2011). Namun justru di sinilah terletak konsekuensi yang perlu dicermati, sebab pada perbuatan berlanjut hanya diterapkan satu aturan pidana. Banyaknya korban dengan demikian tidak melipatgandakan ancaman pidana, melainkan tetap tunduk pada satu ancaman maksimum. Temuan ini penting karena menjelaskan secara struktural mengapa berat pidana dalam perkara seperti ini cenderung tidak sebanding dengan akumulasi kerugian.</w:t>
      </w:r>
    </w:p>
    <w:p>
      <w:pPr>
        <w:pStyle w:val="IEEEParagraph"/>
        <w:ind w:left="567" w:right="322"/>
      </w:pPr>
    </w:p>
    <w:p>
      <w:pPr>
        <w:pStyle w:val="Heading2"/>
        <w:ind w:right="322"/>
        <w:rPr>
          <w:rStyle w:val="mediumtext"/>
        </w:rPr>
      </w:pPr>
      <w:r>
        <w:rPr>
          <w:rStyle w:val="mediumtext"/>
        </w:rPr>
        <w:t xml:space="preserve">3.2 Analisis Yuridis Putusan: Proporsionalitas Pidana dan Pemulihan Kerugian Korban</w:t>
      </w:r>
    </w:p>
    <w:p>
      <w:pPr>
        <w:pStyle w:val="IEEEParagraph"/>
        <w:ind w:left="567" w:right="322" w:firstLine="567"/>
        <w:rPr>
          <w:rFonts w:ascii="Segoe UI" w:hAnsi="Segoe UI" w:cs="Segoe UI"/>
          <w:sz w:val="22"/>
          <w:szCs w:val="22"/>
        </w:rPr>
      </w:pPr>
      <w:r>
        <w:rPr>
          <w:rFonts w:ascii="Segoe UI" w:hAnsi="Segoe UI" w:cs="Segoe UI"/>
          <w:sz w:val="22"/>
          <w:szCs w:val="22"/>
        </w:rPr>
        <w:t xml:space="preserve">Majelis hakim menjatuhkan pidana penjara dua tahun dan denda sepuluh juta rupiah dengan ketentuan apabila denda tidak dibayar diganti pidana kurungan tiga bulan. Untuk menilai putusan tersebut secara terukur, besaran kerugian tiap saksi korban perlu disandingkan dengan ancaman pidana dan pidana yang dijatuhkan. Tabel 2 menyajikan penyandingan tersebut.</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2. </w:t>
      </w:r>
      <w:r>
        <w:rPr>
          <w:rFonts w:ascii="Segoe UI" w:hAnsi="Segoe UI" w:cs="Segoe UI"/>
          <w:sz w:val="20"/>
          <w:szCs w:val="20"/>
        </w:rPr>
        <w:t xml:space="preserve">Perbandingan Kerugian Korban, Ancaman Pidana, dan Pidana yang Dijatuhkan</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2500"/>
        <w:gridCol w:w="3400"/>
        <w:gridCol w:w="3126"/>
      </w:tblGrid>
      <w:tr>
        <w:trPr>
          <w:cantSplit/>
          <w:tblHeader/>
        </w:trPr>
        <w:tc>
          <w:tcPr>
            <w:tcW w:w="25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Aspek</w:t>
            </w:r>
          </w:p>
        </w:tc>
        <w:tc>
          <w:tcPr>
            <w:tcW w:w="34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Uraian dalam Putusan</w:t>
            </w:r>
          </w:p>
        </w:tc>
        <w:tc>
          <w:tcPr>
            <w:tcW w:w="31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Proporsi</w:t>
            </w:r>
          </w:p>
        </w:tc>
      </w:tr>
      <w:tr>
        <w:trPr>
          <w:cantSplit/>
        </w:trPr>
        <w:tc>
          <w:tcPr>
            <w:tcW w:w="2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Kerugian saksi korban pertama</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Rp12.000.000,00</w:t>
            </w:r>
          </w:p>
        </w:tc>
        <w:tc>
          <w:tcPr>
            <w:tcW w:w="31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Sekitar 9 persen dari total kerugian</w:t>
            </w:r>
          </w:p>
        </w:tc>
      </w:tr>
      <w:tr>
        <w:trPr>
          <w:cantSplit/>
        </w:trPr>
        <w:tc>
          <w:tcPr>
            <w:tcW w:w="2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Kerugian saksi korban kedua</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Rp82.950.000,00</w:t>
            </w:r>
          </w:p>
        </w:tc>
        <w:tc>
          <w:tcPr>
            <w:tcW w:w="31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Sekitar 63 persen dari total kerugian</w:t>
            </w:r>
          </w:p>
        </w:tc>
      </w:tr>
      <w:tr>
        <w:trPr>
          <w:cantSplit/>
        </w:trPr>
        <w:tc>
          <w:tcPr>
            <w:tcW w:w="2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Kerugian saksi korban ketiga</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Rp36.000.000,00</w:t>
            </w:r>
          </w:p>
        </w:tc>
        <w:tc>
          <w:tcPr>
            <w:tcW w:w="31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Sekitar 28 persen dari total kerugian</w:t>
            </w:r>
          </w:p>
        </w:tc>
      </w:tr>
      <w:tr>
        <w:trPr>
          <w:cantSplit/>
        </w:trPr>
        <w:tc>
          <w:tcPr>
            <w:tcW w:w="2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Total kerugian tiga saksi korban</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Rp130.950.000,00</w:t>
            </w:r>
          </w:p>
        </w:tc>
        <w:tc>
          <w:tcPr>
            <w:tcW w:w="31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w:t>
            </w:r>
          </w:p>
        </w:tc>
      </w:tr>
      <w:tr>
        <w:trPr>
          <w:cantSplit/>
        </w:trPr>
        <w:tc>
          <w:tcPr>
            <w:tcW w:w="2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Ancaman pidana</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Penjara paling lama 6 tahun dan/atau denda paling banyak Rp1.000.000.000,00</w:t>
            </w:r>
          </w:p>
        </w:tc>
        <w:tc>
          <w:tcPr>
            <w:tcW w:w="31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w:t>
            </w:r>
          </w:p>
        </w:tc>
      </w:tr>
      <w:tr>
        <w:trPr>
          <w:cantSplit/>
        </w:trPr>
        <w:tc>
          <w:tcPr>
            <w:tcW w:w="2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Pidana penjara yang dijatuhkan</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2 tahun</w:t>
            </w:r>
          </w:p>
        </w:tc>
        <w:tc>
          <w:tcPr>
            <w:tcW w:w="31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Sekitar sepertiga dari ancaman maksimum</w:t>
            </w:r>
          </w:p>
        </w:tc>
      </w:tr>
      <w:tr>
        <w:trPr>
          <w:cantSplit/>
        </w:trPr>
        <w:tc>
          <w:tcPr>
            <w:tcW w:w="2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Pidana denda yang dijatuhkan</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Rp10.000.000,00 subsidiair 3 bulan kurungan</w:t>
            </w:r>
          </w:p>
        </w:tc>
        <w:tc>
          <w:tcPr>
            <w:tcW w:w="31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Satu persen dari ancaman denda maksimum dan sekitar tujuh persen dari total kerugian</w:t>
            </w:r>
          </w:p>
        </w:tc>
      </w:tr>
      <w:tr>
        <w:trPr>
          <w:cantSplit/>
        </w:trPr>
        <w:tc>
          <w:tcPr>
            <w:tcW w:w="25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Pemulihan kerugian korban</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Tidak dimuat dalam amar putusan</w:t>
            </w:r>
          </w:p>
        </w:tc>
        <w:tc>
          <w:tcPr>
            <w:tcW w:w="31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Putusan Pengadilan Negeri Makassar Nomor 1186/Pid.Sus/2023/PN Mks (2023) dan UU No. 19 Tahun 2016</w:t>
      </w:r>
    </w:p>
    <w:p>
      <w:pPr>
        <w:pStyle w:val="IEEEParagraph"/>
        <w:ind w:left="567" w:right="322" w:firstLine="567"/>
        <w:rPr>
          <w:rFonts w:ascii="Segoe UI" w:hAnsi="Segoe UI" w:cs="Segoe UI"/>
          <w:sz w:val="22"/>
          <w:szCs w:val="22"/>
        </w:rPr>
      </w:pPr>
      <w:r>
        <w:rPr>
          <w:rFonts w:ascii="Segoe UI" w:hAnsi="Segoe UI" w:cs="Segoe UI"/>
          <w:sz w:val="22"/>
          <w:szCs w:val="22"/>
        </w:rPr>
        <w:t xml:space="preserve">Tabel 2 memperlihatkan bahwa penilaian mengenai ketidakproporsionalan perlu dinyatakan secara lebih cermat daripada sekadar menyebut pidana terlalu ringan. Pidana penjara dua tahun berada pada kisaran sepertiga dari ancaman maksimum, suatu proporsi yang tidak dapat disebut sangat rendah untuk delik yang tidak memiliki ancaman minimum khusus dan yang pelakunya diadili sebagai satu perbuatan berlanjut. Ketidakseimbangan yang sesungguhnya justru terletak pada pidana denda. Denda sepuluh juta rupiah hanya merupakan satu persen dari ancaman denda maksimum, dan yang lebih penting, hanya sekitar tujuh persen dari total kerugian tiga saksi korban.</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angka tersebut memperlihatkan persoalan yang bersifat struktural, bukan sekadar persoalan keberanian hakim. Pidana denda disetorkan ke kas negara dan tidak mengalir kepada korban, sehingga sebesar apa pun dendanya, korban tetap tidak memperoleh pemulihan. Dalam delik yang kerugiannya berupa harta benda dan masih dapat dinilai dengan uang, pemidanaan tanpa pemulihan menyisakan ketimpangan: negara memperoleh denda, pelaku memperoleh pidana, sedangkan korban hanya memperoleh kepastian bahwa pelaku dihukum. Argumentasi tersebut dapat dipahami karena hukum pidana memang berorientasi pada perbuatan dan pelaku, tetapi orientasi itu tidak seharusnya menutup jalan bagi pemulihan yang sudah disediakan hukum acara.</w:t>
      </w:r>
    </w:p>
    <w:p>
      <w:pPr>
        <w:pStyle w:val="IEEEParagraph"/>
        <w:ind w:left="567" w:right="322" w:firstLine="567"/>
        <w:rPr>
          <w:rFonts w:ascii="Segoe UI" w:hAnsi="Segoe UI" w:cs="Segoe UI"/>
          <w:sz w:val="22"/>
          <w:szCs w:val="22"/>
        </w:rPr>
      </w:pPr>
      <w:r>
        <w:rPr>
          <w:rFonts w:ascii="Segoe UI" w:hAnsi="Segoe UI" w:cs="Segoe UI"/>
          <w:sz w:val="22"/>
          <w:szCs w:val="22"/>
        </w:rPr>
        <w:t xml:space="preserve">Jalan yang tersedia sebenarnya ada. Undang-Undang Nomor 8 Tahun 1981 mengenal penggabungan perkara gugatan ganti kerugian, yang memungkinkan korban mengajukan permintaan ganti kerugian dalam perkara pidana yang sedang berjalan tanpa harus menempuh gugatan perdata terpisah. Mekanisme tersebut tidak tampak digunakan dalam perkara a quo, padahal besaran kerugian tiap korban terurai jelas dalam fakta persidangan dan didukung bukti transfer. Jika dikaitkan dengan tujuan hukum, penggunaan mekanisme itu akan memperkuat aspek kemanfaatan tanpa mengorbankan kepastian hukum, sebab dasar hukumnya telah tersedia dan besaran kerugiannya telah terbukti.</w:t>
      </w:r>
    </w:p>
    <w:p>
      <w:pPr>
        <w:pStyle w:val="IEEEParagraph"/>
        <w:ind w:left="567" w:right="322" w:firstLine="567"/>
        <w:rPr>
          <w:rFonts w:ascii="Segoe UI" w:hAnsi="Segoe UI" w:cs="Segoe UI"/>
          <w:sz w:val="22"/>
          <w:szCs w:val="22"/>
        </w:rPr>
      </w:pPr>
      <w:r>
        <w:rPr>
          <w:rFonts w:ascii="Segoe UI" w:hAnsi="Segoe UI" w:cs="Segoe UI"/>
          <w:sz w:val="22"/>
          <w:szCs w:val="22"/>
        </w:rPr>
        <w:t xml:space="preserve">Terhadap tuntutan agar pidana diperberat, posisi penulis bersifat berimbang. Memperberat pidana penjara memang dapat memperkuat pesan pencegahan, dan pencegahan itu memang dibutuhkan menghadapi penipuan daring yang berulang dengan pola serupa (Prasetyo, 2014). Akan tetapi hukum pidana tetap harus dipahami sebagai sarana perlindungan kepentingan hukum yang sekaligus membatasi kesewenangan negara (Chazawi, 2011), sehingga tuntutan pemberatan tidak boleh berubah menjadi tuntutan pembalasan. Menurut analisis penulis, respons yang lebih tepat terhadap perkara ini bukanlah semata-mata menaikkan lama pidana penjara, melainkan menautkan pemidanaan dengan pemulihan kerugian korban, sebab justru pemulihan itulah yang paling dirasakan oleh pihak yang dirugikan.</w:t>
      </w:r>
    </w:p>
    <w:p>
      <w:pPr>
        <w:pStyle w:val="IEEEParagraph"/>
        <w:ind w:left="567" w:right="322" w:firstLine="567"/>
        <w:rPr>
          <w:rFonts w:ascii="Segoe UI" w:hAnsi="Segoe UI" w:cs="Segoe UI"/>
          <w:sz w:val="22"/>
          <w:szCs w:val="22"/>
        </w:rPr>
      </w:pPr>
      <w:r>
        <w:rPr>
          <w:rFonts w:ascii="Segoe UI" w:hAnsi="Segoe UI" w:cs="Segoe UI"/>
          <w:sz w:val="22"/>
          <w:szCs w:val="22"/>
        </w:rPr>
        <w:t xml:space="preserve">Dari perspektif transisional, ketentuan yang menjadi dasar pemidanaan dalam perkara ini tetap bertahan. Pasal 28 ayat (1) beserta ancaman pidananya pada Pasal 45A ayat (1) tidak termasuk dalam ketentuan yang dibatasi masa berlakunya oleh Undang-Undang Nomor 1 Tahun 2024 maupun yang dicabut bersamaan dengan berlakunya Kitab Undang-Undang Hukum Pidana yang baru, sehingga konstruksi pemidanaan seperti dalam putusan a quo masih dapat diulang pada perkara sejenis. Justru karena itu, catatan mengenai pemulihan kerugian korban menjadi lebih relevan, sebab persoalannya bukan pada dasar hukum yang usang melainkan pada belum dimanfaatkannya mekanisme yang tersedia.</w:t>
      </w:r>
    </w:p>
    <w:p w14:paraId="17E3A12B" w14:textId="5E31EBBF" w:rsidR="001E0508" w:rsidRPr="00EA7E75" w:rsidRDefault="00985560" w:rsidP="00985560">
      <w:pPr>
        <w:pStyle w:val="Heading3"/>
        <w:ind w:left="993" w:hanging="426"/>
      </w:pPr>
      <w:r>
        <w:t>KESIMPULAN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Pertimbangan hukum majelis hakim dalam Putusan Pengadilan Negeri Makassar Nomor 1186/Pid.Sus/2023/PN Mks telah dilakukan sesuai dengan ketentuan yang berlaku. Majelis menguji empat unsur dakwaan tunggal Pasal 45A ayat (1) juncto Pasal 28 ayat (1) Undang-Undang Nomor 19 Tahun 2016 juncto Pasal 64 ayat (1) Kitab Undang-Undang Hukum Pidana secara berurutan, dan masing-masing unsur dihubungkan dengan fakta persidangan yang bersumber pada keterangan saksi, keterangan terdakwa, serta barang bukti berupa tangkapan layar percakapan dan bukti transfer. Pemilihan bentuk dakwaan tunggal tepat karena perbuatan terdakwa secara harfiah sesuai dengan rumusan pasal yang didakwakan, dan penerapan ketentuan perbuatan berlanjut juga tepat karena pola perbuatan terhadap ketiga korban sama serta berlangsung dalam tenggang waktu yang berdekatan. Konsekuensi yang perlu dicatat adalah bahwa pada perbuatan berlanjut hanya diterapkan satu aturan pidana, sehingga banyaknya korban tidak melipatgandakan ancaman pidana.</w:t>
      </w:r>
    </w:p>
    <w:p>
      <w:pPr>
        <w:pStyle w:val="IEEEParagraph"/>
        <w:ind w:left="567" w:right="322" w:firstLine="567"/>
        <w:rPr>
          <w:rFonts w:ascii="Segoe UI" w:hAnsi="Segoe UI" w:cs="Segoe UI"/>
          <w:sz w:val="22"/>
          <w:szCs w:val="22"/>
        </w:rPr>
      </w:pPr>
      <w:r>
        <w:rPr>
          <w:rFonts w:ascii="Segoe UI" w:hAnsi="Segoe UI" w:cs="Segoe UI"/>
          <w:sz w:val="22"/>
          <w:szCs w:val="22"/>
        </w:rPr>
        <w:t xml:space="preserve">Analisis yuridis terhadap putusan memperlihatkan bahwa ketidakseimbangan tidak terletak pada lama pidana penjara, melainkan terutama pada pidana denda dan pada tiadanya pemulihan kerugian. Pidana penjara dua tahun berada pada kisaran sepertiga dari ancaman maksimum enam tahun, suatu proporsi yang masih dapat dipertanggungjawabkan bagi delik tanpa ancaman minimum khusus yang diadili sebagai satu perbuatan berlanjut. Sebaliknya, denda sepuluh juta rupiah hanya merupakan satu persen dari ancaman denda maksimum dan sekitar tujuh persen dari total kerugian tiga saksi korban yang mencapai seratus tiga puluh juta rupiah lebih. Denda tersebut pun disetorkan ke kas negara dan tidak mengalir kepada korban, sementara amar putusan tidak memuat pembebanan pemulihan kerugian sama sekali. Dengan demikian, kelemahan putusan terletak pada belum tertautnya pemidanaan dengan pemulihan posisi korban.</w:t>
      </w:r>
    </w:p>
    <w:p>
      <w:pPr>
        <w:pStyle w:val="IEEEParagraph"/>
        <w:ind w:left="567" w:right="322" w:firstLine="567"/>
        <w:rPr>
          <w:rFonts w:ascii="Segoe UI" w:hAnsi="Segoe UI" w:cs="Segoe UI"/>
          <w:sz w:val="22"/>
          <w:szCs w:val="22"/>
        </w:rPr>
      </w:pPr>
      <w:r>
        <w:rPr>
          <w:rFonts w:ascii="Segoe UI" w:hAnsi="Segoe UI" w:cs="Segoe UI"/>
          <w:sz w:val="22"/>
          <w:szCs w:val="22"/>
        </w:rPr>
        <w:t xml:space="preserve">Berdasarkan temuan tersebut, penulis menyarankan agar penuntut umum dalam perkara penipuan daring menguraikan besaran kerugian tiap korban secara terperinci sejak surat dakwaan dan tuntutan, sehingga besaran itu dapat menjadi dasar bagi permintaan pemulihan kerugian. Bagi korban dan penasihat hukumnya, mekanisme penggabungan perkara gugatan ganti kerugian dalam hukum acara pidana perlu dimanfaatkan agar pemulihan tidak menunggu gugatan perdata terpisah yang memakan waktu dan biaya. Bagi hakim, pertimbangan pemidanaan sebaiknya menguraikan secara eksplisit hubungan antara besaran kerugian yang terbukti dan pidana denda yang dijatuhkan, agar selisih di antara keduanya tidak menimbulkan kesan pemidanaan yang tidak proporsional. Bagi aparat penegak hukum, sosialisasi mengenai modus penipuan melalui lokapasar perlu dilakukan secara terencana dan teratur sebagai upaya pencegahan. Adapun bagi pengembangan ilmu, penelitian lanjutan disarankan membandingkan beberapa putusan penipuan daring untuk menguji seberapa sering mekanisme pemulihan kerugian korban benar-benar digunakan.</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Arief, B. N. (2007). </w:t>
      </w:r>
      <w:r>
        <w:rPr>
          <w:rFonts w:cs="Segoe UI"/>
          <w:sz w:val="20"/>
          <w:szCs w:val="20"/>
          <w:i/>
          <w:iCs/>
        </w:rPr>
        <w:t xml:space="preserve">Tindak pidana mayantara: Perkembangan kajian cyber crime di Indonesia</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Chazawi, A. (2011). </w:t>
      </w:r>
      <w:r>
        <w:rPr>
          <w:rFonts w:cs="Segoe UI"/>
          <w:sz w:val="20"/>
          <w:szCs w:val="20"/>
          <w:i/>
          <w:iCs/>
        </w:rPr>
        <w:t xml:space="preserve">Pelajaran hukum pidana bagian 1</w:t>
      </w:r>
      <w:r>
        <w:rPr>
          <w:rFonts w:cs="Segoe UI"/>
          <w:sz w:val="20"/>
          <w:szCs w:val="20"/>
        </w:rPr>
        <w:t xml:space="preserve">. RajaGrafindo Persada.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Ekaputra, M. (2015). </w:t>
      </w:r>
      <w:r>
        <w:rPr>
          <w:rFonts w:cs="Segoe UI"/>
          <w:sz w:val="20"/>
          <w:szCs w:val="20"/>
          <w:i/>
          <w:iCs/>
        </w:rPr>
        <w:t xml:space="preserve">Dasar-dasar hukum pidana</w:t>
      </w:r>
      <w:r>
        <w:rPr>
          <w:rFonts w:cs="Segoe UI"/>
          <w:sz w:val="20"/>
          <w:szCs w:val="20"/>
        </w:rPr>
        <w:t xml:space="preserve">. USU Press.</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Hamzah, A. (2008). </w:t>
      </w:r>
      <w:r>
        <w:rPr>
          <w:rFonts w:cs="Segoe UI"/>
          <w:sz w:val="20"/>
          <w:szCs w:val="20"/>
          <w:i/>
          <w:iCs/>
        </w:rPr>
        <w:t xml:space="preserve">Asas-asas hukum pidana</w:t>
      </w:r>
      <w:r>
        <w:rPr>
          <w:rFonts w:cs="Segoe UI"/>
          <w:sz w:val="20"/>
          <w:szCs w:val="20"/>
        </w:rPr>
        <w:t xml:space="preserve">. Rineka Cipta.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Ilyas, A. (2012). </w:t>
      </w:r>
      <w:r>
        <w:rPr>
          <w:rFonts w:cs="Segoe UI"/>
          <w:sz w:val="20"/>
          <w:szCs w:val="20"/>
          <w:i/>
          <w:iCs/>
        </w:rPr>
        <w:t xml:space="preserve">Asas-asas hukum pidana</w:t>
      </w:r>
      <w:r>
        <w:rPr>
          <w:rFonts w:cs="Segoe UI"/>
          <w:sz w:val="20"/>
          <w:szCs w:val="20"/>
        </w:rPr>
        <w:t xml:space="preserve">. Rangkang Education.</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Maskun. (2013). </w:t>
      </w:r>
      <w:r>
        <w:rPr>
          <w:rFonts w:cs="Segoe UI"/>
          <w:sz w:val="20"/>
          <w:szCs w:val="20"/>
          <w:i/>
          <w:iCs/>
        </w:rPr>
        <w:t xml:space="preserve">Kejahatan siber (cyber crime): Suatu pengantar</w:t>
      </w:r>
      <w:r>
        <w:rPr>
          <w:rFonts w:cs="Segoe UI"/>
          <w:sz w:val="20"/>
          <w:szCs w:val="20"/>
        </w:rPr>
        <w:t xml:space="preserve">. Kencana Prenada Media Group.</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Prasetyo, T. (2014). </w:t>
      </w:r>
      <w:r>
        <w:rPr>
          <w:rFonts w:cs="Segoe UI"/>
          <w:sz w:val="20"/>
          <w:szCs w:val="20"/>
          <w:i/>
          <w:iCs/>
        </w:rPr>
        <w:t xml:space="preserve">Hukum pidana</w:t>
      </w:r>
      <w:r>
        <w:rPr>
          <w:rFonts w:cs="Segoe UI"/>
          <w:sz w:val="20"/>
          <w:szCs w:val="20"/>
        </w:rPr>
        <w:t xml:space="preserve">. Rajawali Pers.</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Sitompul, J. (2012). </w:t>
      </w:r>
      <w:r>
        <w:rPr>
          <w:rFonts w:cs="Segoe UI"/>
          <w:sz w:val="20"/>
          <w:szCs w:val="20"/>
          <w:i/>
          <w:iCs/>
        </w:rPr>
        <w:t xml:space="preserve">Cyberspace, cybercrimes, cyberlaw: Tinjauan aspek hukum pidana</w:t>
      </w:r>
      <w:r>
        <w:rPr>
          <w:rFonts w:cs="Segoe UI"/>
          <w:sz w:val="20"/>
          <w:szCs w:val="20"/>
        </w:rPr>
        <w:t xml:space="preserve">. Tatanusa.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Soesilo, R. (1996). </w:t>
      </w:r>
      <w:r>
        <w:rPr>
          <w:rFonts w:cs="Segoe UI"/>
          <w:sz w:val="20"/>
          <w:szCs w:val="20"/>
          <w:i/>
          <w:iCs/>
        </w:rPr>
        <w:t xml:space="preserve">Kitab Undang-Undang Hukum Pidana (KUHP) serta komentar-komentarnya lengkap pasal demi pasal</w:t>
      </w:r>
      <w:r>
        <w:rPr>
          <w:rFonts w:cs="Segoe UI"/>
          <w:sz w:val="20"/>
          <w:szCs w:val="20"/>
        </w:rPr>
        <w:t xml:space="preserve">. Politeia.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Suseno, S. (2012). </w:t>
      </w:r>
      <w:r>
        <w:rPr>
          <w:rFonts w:cs="Segoe UI"/>
          <w:sz w:val="20"/>
          <w:szCs w:val="20"/>
          <w:i/>
          <w:iCs/>
        </w:rPr>
        <w:t xml:space="preserve">Yurisdiksi tindak pidana siber</w:t>
      </w:r>
      <w:r>
        <w:rPr>
          <w:rFonts w:cs="Segoe UI"/>
          <w:sz w:val="20"/>
          <w:szCs w:val="20"/>
        </w:rPr>
        <w:t xml:space="preserve">. Refika Aditama.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Syarief, E., dkk. (2015). Analisis terhadap tindak pidana penipuan pada transaksi jual-beli online di Kota Batam. </w:t>
      </w:r>
      <w:r>
        <w:rPr>
          <w:rFonts w:cs="Segoe UI"/>
          <w:sz w:val="20"/>
          <w:szCs w:val="20"/>
          <w:i/>
          <w:iCs/>
        </w:rPr>
        <w:t xml:space="preserve">Journal of Judicial Review, 17</w:t>
      </w:r>
      <w:r>
        <w:rPr>
          <w:rFonts w:cs="Segoe UI"/>
          <w:sz w:val="20"/>
          <w:szCs w:val="20"/>
        </w:rPr>
        <w:t xml:space="preserve">(1), 1–20.</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Tongat. (2003). </w:t>
      </w:r>
      <w:r>
        <w:rPr>
          <w:rFonts w:cs="Segoe UI"/>
          <w:sz w:val="20"/>
          <w:szCs w:val="20"/>
          <w:i/>
          <w:iCs/>
        </w:rPr>
        <w:t xml:space="preserve">Hukum pidana materiil</w:t>
      </w:r>
      <w:r>
        <w:rPr>
          <w:rFonts w:cs="Segoe UI"/>
          <w:sz w:val="20"/>
          <w:szCs w:val="20"/>
        </w:rPr>
        <w:t xml:space="preserve">. UMM Press.</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Widodo. (2011). </w:t>
      </w:r>
      <w:r>
        <w:rPr>
          <w:rFonts w:cs="Segoe UI"/>
          <w:sz w:val="20"/>
          <w:szCs w:val="20"/>
          <w:i/>
          <w:iCs/>
        </w:rPr>
        <w:t xml:space="preserve">Hukum pidana di bidang teknologi informasi (cybercrime law): Telaah teoritik dan bedah kasus</w:t>
      </w:r>
      <w:r>
        <w:rPr>
          <w:rFonts w:cs="Segoe UI"/>
          <w:sz w:val="20"/>
          <w:szCs w:val="20"/>
        </w:rPr>
        <w:t xml:space="preserve">. Aswaja Pressindo.</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Putusan Pengadilan Negeri Makassar Nomor 1186/Pid.Sus/2023/PN Mks (2023).</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Kitab Undang-Undang Hukum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8 Tahun 1981 tentang Hukum Acara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11 Tahun 2008 tentang Informasi dan Transaksi Elektronik.</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19 Tahun 2016 tentang Perubahan atas Undang-Undang Nomor 11 Tahun 2008 tentang Informasi dan Transaksi Elektronik.</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 Tahun 2023 tentang Kitab Undang-Undang Hukum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 Tahun 2024 tentang Perubahan Kedua atas Undang-Undang Nomor 11 Tahun 2008 tentang Informasi dan Transaksi Elektronik.</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20 Tahun 2025 tentang Kitab Undang-Undang Hukum Acara Pidana.</w:t>
      </w:r>
    </w:p>
    <w:p w14:paraId="5E84CDA2" w14:textId="24799592" w:rsidR="003A4408" w:rsidRPr="003A4408" w:rsidRDefault="003A4408" w:rsidP="003A4408">
      <w:pPr>
        <w:spacing w:line="240" w:lineRule="auto"/>
        <w:ind w:left="1418" w:right="645" w:hanging="851"/>
        <w:rPr>
          <w:rFonts w:cs="Segoe UI"/>
        </w:rPr>
      </w:pPr>
      <w:r>
        <w:rPr>
          <w:rFonts w:cs="Segoe UI"/>
        </w:rPr>
        <w:fldChar w:fldCharType="end"/>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Gleen Rooi Molle</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