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2571E" w14:textId="77777777" w:rsidR="00AD7C4B" w:rsidRPr="005C1446" w:rsidRDefault="00E109A4" w:rsidP="007677D4">
      <w:pPr>
        <w:spacing w:after="0" w:line="240" w:lineRule="auto"/>
        <w:jc w:val="left"/>
        <w:rPr>
          <w:rFonts w:cs="Segoe UI"/>
          <w:i/>
          <w:iCs/>
          <w:sz w:val="20"/>
          <w:szCs w:val="20"/>
          <w:u w:val="single"/>
          <w:lang w:val="en-US"/>
        </w:rPr>
      </w:pPr>
      <w:r w:rsidRPr="005C1446">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sidRPr="005C1446">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Pr="005C1446">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sidRPr="005C1446">
        <w:rPr>
          <w:rFonts w:cs="Segoe UI"/>
          <w:i/>
          <w:noProof/>
          <w:sz w:val="16"/>
          <w:szCs w:val="16"/>
          <w:lang w:val="en-IN" w:eastAsia="en-IN"/>
        </w:rPr>
        <w:t xml:space="preserve">                                       </w:t>
      </w:r>
      <w:hyperlink r:id="rId10" w:history="1">
        <w:r w:rsidRPr="005C1446">
          <w:rPr>
            <w:rStyle w:val="Hyperlink"/>
            <w:rFonts w:cs="Segoe UI"/>
            <w:i/>
            <w:noProof/>
            <w:color w:val="auto"/>
            <w:sz w:val="16"/>
            <w:szCs w:val="16"/>
            <w:lang w:val="en-IN" w:eastAsia="en-IN"/>
          </w:rPr>
          <w:t>https://ojs.ukipaulus.ac.id/index.php/psnp</w:t>
        </w:r>
      </w:hyperlink>
      <w:r w:rsidRPr="005C1446">
        <w:rPr>
          <w:rFonts w:cs="Segoe UI"/>
          <w:i/>
          <w:noProof/>
          <w:sz w:val="16"/>
          <w:szCs w:val="16"/>
          <w:lang w:val="en-IN" w:eastAsia="en-IN"/>
        </w:rPr>
        <w:t xml:space="preserve"> </w:t>
      </w:r>
      <w:r w:rsidRPr="005C1446">
        <w:t xml:space="preserve">  </w:t>
      </w:r>
    </w:p>
    <w:p w14:paraId="32F4D6AB" w14:textId="77777777" w:rsidR="00CB3BDB" w:rsidRPr="005C1446" w:rsidRDefault="006F20C0" w:rsidP="00E109A4">
      <w:pPr>
        <w:tabs>
          <w:tab w:val="left" w:pos="612"/>
          <w:tab w:val="center" w:pos="4513"/>
        </w:tabs>
        <w:spacing w:after="0" w:line="240" w:lineRule="auto"/>
        <w:jc w:val="center"/>
        <w:rPr>
          <w:rFonts w:cs="Segoe UI"/>
          <w:b/>
          <w:sz w:val="36"/>
          <w:szCs w:val="28"/>
        </w:rPr>
      </w:pPr>
      <w:r w:rsidRPr="005C1446">
        <w:rPr>
          <w:rFonts w:cs="Segoe UI"/>
          <w:b/>
          <w:sz w:val="36"/>
          <w:szCs w:val="28"/>
        </w:rPr>
        <w:t xml:space="preserve">Seminar Nasional </w:t>
      </w:r>
    </w:p>
    <w:p w14:paraId="75DC1D82" w14:textId="77777777" w:rsidR="006F20C0" w:rsidRPr="005C1446" w:rsidRDefault="006F20C0" w:rsidP="00E109A4">
      <w:pPr>
        <w:tabs>
          <w:tab w:val="left" w:pos="612"/>
          <w:tab w:val="center" w:pos="4513"/>
        </w:tabs>
        <w:spacing w:after="0" w:line="240" w:lineRule="auto"/>
        <w:jc w:val="center"/>
        <w:rPr>
          <w:rFonts w:cs="Segoe UI"/>
          <w:b/>
          <w:sz w:val="36"/>
          <w:szCs w:val="28"/>
        </w:rPr>
      </w:pPr>
      <w:r w:rsidRPr="005C1446">
        <w:rPr>
          <w:rFonts w:cs="Segoe UI"/>
          <w:b/>
          <w:sz w:val="36"/>
          <w:szCs w:val="28"/>
        </w:rPr>
        <w:t>Humanesia Pascasarjana</w:t>
      </w:r>
    </w:p>
    <w:p w14:paraId="1864F7B2" w14:textId="77777777" w:rsidR="00AD7C4B" w:rsidRPr="005C1446" w:rsidRDefault="003A4408" w:rsidP="003A4408">
      <w:pPr>
        <w:spacing w:after="0" w:line="240" w:lineRule="auto"/>
        <w:jc w:val="center"/>
        <w:rPr>
          <w:rFonts w:cs="Segoe UI"/>
          <w:b/>
          <w:sz w:val="16"/>
          <w:szCs w:val="16"/>
        </w:rPr>
      </w:pPr>
      <w:r w:rsidRPr="005C1446">
        <w:rPr>
          <w:rFonts w:cs="Segoe UI"/>
          <w:b/>
          <w:sz w:val="16"/>
          <w:szCs w:val="16"/>
        </w:rPr>
        <w:t>(Humaniora, Ekonomi, Bisnis, Manajemen, Hukum dan Sosiologi)</w:t>
      </w:r>
    </w:p>
    <w:p w14:paraId="747F17B1" w14:textId="77777777" w:rsidR="0010607A" w:rsidRPr="005C1446" w:rsidRDefault="00886EB8" w:rsidP="00E109A4">
      <w:pPr>
        <w:spacing w:after="0" w:line="240" w:lineRule="auto"/>
        <w:jc w:val="center"/>
        <w:rPr>
          <w:rFonts w:cs="Segoe UI"/>
          <w:b/>
        </w:rPr>
      </w:pPr>
      <w:r w:rsidRPr="005C1446">
        <w:rPr>
          <w:rFonts w:cs="Segoe UI"/>
          <w:b/>
        </w:rPr>
        <w:t>Universitas Kristen Indonesia Paulus</w:t>
      </w:r>
    </w:p>
    <w:p w14:paraId="4ABCCBB3" w14:textId="77777777" w:rsidR="007677D4" w:rsidRPr="005C1446" w:rsidRDefault="00E109A4" w:rsidP="00E109A4">
      <w:pPr>
        <w:spacing w:after="0" w:line="240" w:lineRule="auto"/>
        <w:jc w:val="left"/>
        <w:rPr>
          <w:rFonts w:cs="Segoe UI"/>
          <w:b/>
          <w:sz w:val="20"/>
          <w:szCs w:val="20"/>
        </w:rPr>
      </w:pPr>
      <w:r w:rsidRPr="005C1446">
        <w:rPr>
          <w:rFonts w:cs="Segoe UI"/>
          <w:b/>
          <w:sz w:val="20"/>
          <w:szCs w:val="20"/>
        </w:rPr>
        <w:t xml:space="preserve">                                                                 Makassar, Indonesia</w:t>
      </w:r>
    </w:p>
    <w:p w14:paraId="47DF692B" w14:textId="77777777" w:rsidR="001E0508" w:rsidRPr="005C1446" w:rsidRDefault="00E109A4" w:rsidP="007677D4">
      <w:pPr>
        <w:spacing w:after="0" w:line="240" w:lineRule="auto"/>
        <w:jc w:val="left"/>
        <w:rPr>
          <w:rFonts w:cs="Segoe UI"/>
          <w:b/>
          <w:sz w:val="20"/>
          <w:szCs w:val="20"/>
        </w:rPr>
      </w:pPr>
      <w:r w:rsidRPr="005C1446">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60D279F9" w14:textId="77777777" w:rsidR="00AD7C4B" w:rsidRPr="005C1446" w:rsidRDefault="00AD7C4B" w:rsidP="00676A1B">
      <w:pPr>
        <w:tabs>
          <w:tab w:val="right" w:pos="9026"/>
        </w:tabs>
        <w:spacing w:after="0" w:line="240" w:lineRule="auto"/>
        <w:rPr>
          <w:rFonts w:cs="Segoe UI"/>
          <w:b/>
          <w:sz w:val="20"/>
          <w:szCs w:val="20"/>
        </w:rPr>
      </w:pPr>
      <w:r w:rsidRPr="005C1446">
        <w:rPr>
          <w:rFonts w:cs="Segoe UI"/>
          <w:b/>
          <w:sz w:val="20"/>
          <w:szCs w:val="20"/>
        </w:rPr>
        <w:tab/>
      </w:r>
    </w:p>
    <w:p w14:paraId="059E401E" w14:textId="77777777" w:rsidR="00676A1B" w:rsidRPr="005C1446" w:rsidRDefault="006F20C0" w:rsidP="00100027">
      <w:pPr>
        <w:tabs>
          <w:tab w:val="right" w:pos="9026"/>
        </w:tabs>
        <w:spacing w:after="0" w:line="240" w:lineRule="auto"/>
        <w:jc w:val="center"/>
        <w:rPr>
          <w:rFonts w:cs="Segoe UI"/>
          <w:b/>
          <w:sz w:val="30"/>
          <w:szCs w:val="30"/>
          <w:lang w:val="sv-SE"/>
        </w:rPr>
      </w:pPr>
      <w:r w:rsidRPr="005C1446">
        <w:rPr>
          <w:rFonts w:cs="Segoe UI"/>
          <w:b/>
          <w:bCs/>
          <w:sz w:val="30"/>
          <w:szCs w:val="30"/>
          <w:lang w:val="id"/>
        </w:rPr>
        <w:t>Analisis Yuridis Dakwaan dan Pertimbangan Hukum Hakim Perkara Cabul Anak di PN Sorong</w:t>
      </w:r>
    </w:p>
    <w:p w14:paraId="230E7FA3" w14:textId="77777777" w:rsidR="00100027" w:rsidRPr="005C1446" w:rsidRDefault="00100027" w:rsidP="007677D4">
      <w:pPr>
        <w:tabs>
          <w:tab w:val="right" w:pos="9026"/>
        </w:tabs>
        <w:spacing w:after="0" w:line="240" w:lineRule="auto"/>
        <w:jc w:val="left"/>
        <w:rPr>
          <w:rFonts w:cs="Segoe UI"/>
          <w:i/>
          <w:sz w:val="24"/>
          <w:szCs w:val="20"/>
          <w:lang w:val="sv-SE"/>
        </w:rPr>
      </w:pPr>
    </w:p>
    <w:p w14:paraId="7E4367A7" w14:textId="77777777" w:rsidR="00361A98" w:rsidRPr="005C1446" w:rsidRDefault="00361A98" w:rsidP="00676A1B">
      <w:pPr>
        <w:tabs>
          <w:tab w:val="right" w:pos="9026"/>
        </w:tabs>
        <w:spacing w:after="0" w:line="240" w:lineRule="auto"/>
        <w:rPr>
          <w:rFonts w:cs="Segoe UI"/>
          <w:sz w:val="20"/>
          <w:szCs w:val="20"/>
        </w:rPr>
      </w:pPr>
    </w:p>
    <w:p w14:paraId="7AEC70E5" w14:textId="77777777" w:rsidR="00AC334E" w:rsidRPr="005C1446" w:rsidRDefault="001E0508" w:rsidP="00C00D09">
      <w:pPr>
        <w:tabs>
          <w:tab w:val="right" w:pos="9026"/>
        </w:tabs>
        <w:spacing w:after="0" w:line="240" w:lineRule="auto"/>
        <w:rPr>
          <w:rFonts w:cs="Segoe UI"/>
          <w:b/>
          <w:bCs/>
          <w:sz w:val="24"/>
          <w:szCs w:val="24"/>
          <w:lang w:val="fi-FI"/>
        </w:rPr>
      </w:pPr>
      <w:r w:rsidRPr="005C1446">
        <w:rPr>
          <w:rFonts w:cs="Segoe UI"/>
          <w:b/>
          <w:bCs/>
          <w:sz w:val="24"/>
          <w:szCs w:val="24"/>
          <w:lang w:val="fi-FI"/>
        </w:rPr>
        <w:t>Eka Tri Lestari Abusama1*</w:t>
      </w:r>
    </w:p>
    <w:p w14:paraId="5BB3EB83" w14:textId="77777777" w:rsidR="00AC334E" w:rsidRPr="005C1446" w:rsidRDefault="001E0508" w:rsidP="00241D17">
      <w:pPr>
        <w:tabs>
          <w:tab w:val="right" w:pos="9026"/>
        </w:tabs>
        <w:spacing w:after="0" w:line="240" w:lineRule="auto"/>
        <w:rPr>
          <w:rFonts w:cs="Segoe UI"/>
          <w:sz w:val="20"/>
          <w:szCs w:val="20"/>
          <w:lang w:val="fi-FI"/>
        </w:rPr>
      </w:pPr>
      <w:r w:rsidRPr="005C1446">
        <w:rPr>
          <w:rFonts w:cs="Segoe UI"/>
          <w:sz w:val="20"/>
          <w:szCs w:val="20"/>
          <w:vertAlign w:val="superscript"/>
          <w:lang w:val="fi-FI"/>
        </w:rPr>
        <w:t>1</w:t>
      </w:r>
      <w:r w:rsidRPr="005C1446">
        <w:rPr>
          <w:rFonts w:cs="Segoe UI"/>
          <w:sz w:val="20"/>
          <w:szCs w:val="20"/>
          <w:lang w:val="fi-FI"/>
        </w:rPr>
        <w:t xml:space="preserve"> Program Studi Magister Ilmu Hukum, Program Pascasarjana, Universitas Kristen Indonesia Paulus, Makassar, Indonesia</w:t>
      </w:r>
    </w:p>
    <w:p w14:paraId="205EF734" w14:textId="77777777" w:rsidR="00BE12F5" w:rsidRPr="005C1446" w:rsidRDefault="006F20C0" w:rsidP="00241D17">
      <w:pPr>
        <w:tabs>
          <w:tab w:val="right" w:pos="9026"/>
        </w:tabs>
        <w:spacing w:after="0" w:line="240" w:lineRule="auto"/>
        <w:rPr>
          <w:rFonts w:cs="Segoe UI"/>
          <w:i/>
          <w:sz w:val="18"/>
          <w:szCs w:val="18"/>
          <w:lang w:val="en-US"/>
        </w:rPr>
      </w:pPr>
      <w:hyperlink r:id="rId11" w:history="1">
        <w:r w:rsidRPr="005C1446">
          <w:rPr>
            <w:rStyle w:val="Hyperlink"/>
            <w:rFonts w:cs="Segoe UI"/>
            <w:i/>
            <w:color w:val="auto"/>
            <w:sz w:val="18"/>
            <w:szCs w:val="18"/>
            <w:lang w:val="fi-FI"/>
          </w:rPr>
          <w:t>eka@ukipaulus.ac.id</w:t>
        </w:r>
      </w:hyperlink>
      <w:r w:rsidRPr="005C1446">
        <w:rPr>
          <w:rFonts w:cs="Segoe UI"/>
          <w:i/>
          <w:sz w:val="18"/>
          <w:szCs w:val="18"/>
          <w:lang w:val="fi-FI"/>
        </w:rPr>
        <w:t xml:space="preserve"> </w:t>
      </w:r>
      <w:r w:rsidRPr="005C1446">
        <w:rPr>
          <w:rFonts w:cs="Segoe UI"/>
          <w:i/>
          <w:sz w:val="18"/>
          <w:szCs w:val="18"/>
          <w:lang w:val="en-US"/>
        </w:rPr>
        <w:t>(Korespondensi)*</w:t>
      </w:r>
    </w:p>
    <w:p w14:paraId="763E4DF8" w14:textId="77777777" w:rsidR="006F20C0" w:rsidRPr="005C1446"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5C1446" w14:paraId="7DACD210" w14:textId="77777777" w:rsidTr="00550BFE">
        <w:trPr>
          <w:trHeight w:val="189"/>
        </w:trPr>
        <w:tc>
          <w:tcPr>
            <w:tcW w:w="1171" w:type="pct"/>
            <w:tcBorders>
              <w:top w:val="single" w:sz="4" w:space="0" w:color="auto"/>
              <w:bottom w:val="single" w:sz="4" w:space="0" w:color="auto"/>
            </w:tcBorders>
          </w:tcPr>
          <w:p w14:paraId="4F421941" w14:textId="77777777" w:rsidR="00241D17" w:rsidRPr="005C1446" w:rsidRDefault="00241D17" w:rsidP="00550BFE">
            <w:pPr>
              <w:spacing w:after="0" w:line="240" w:lineRule="auto"/>
              <w:rPr>
                <w:rFonts w:eastAsia="Times New Roman" w:cs="Segoe UI"/>
                <w:b/>
                <w:sz w:val="20"/>
                <w:szCs w:val="20"/>
              </w:rPr>
            </w:pPr>
          </w:p>
        </w:tc>
        <w:tc>
          <w:tcPr>
            <w:tcW w:w="3829" w:type="pct"/>
            <w:tcBorders>
              <w:top w:val="single" w:sz="4" w:space="0" w:color="auto"/>
              <w:bottom w:val="single" w:sz="4" w:space="0" w:color="auto"/>
            </w:tcBorders>
          </w:tcPr>
          <w:p w14:paraId="35CFBDB0" w14:textId="77777777" w:rsidR="00241D17" w:rsidRPr="005C1446" w:rsidRDefault="00241D17" w:rsidP="00550BFE">
            <w:pPr>
              <w:spacing w:after="0" w:line="240" w:lineRule="auto"/>
              <w:rPr>
                <w:rFonts w:eastAsia="Times New Roman" w:cs="Segoe UI"/>
                <w:b/>
                <w:sz w:val="20"/>
                <w:szCs w:val="20"/>
              </w:rPr>
            </w:pPr>
          </w:p>
        </w:tc>
      </w:tr>
      <w:tr w:rsidR="00241D17" w:rsidRPr="005C1446" w14:paraId="675825D6" w14:textId="77777777" w:rsidTr="00550BFE">
        <w:trPr>
          <w:trHeight w:val="1678"/>
        </w:trPr>
        <w:tc>
          <w:tcPr>
            <w:tcW w:w="1171" w:type="pct"/>
            <w:tcBorders>
              <w:top w:val="single" w:sz="4" w:space="0" w:color="auto"/>
              <w:bottom w:val="single" w:sz="4" w:space="0" w:color="auto"/>
            </w:tcBorders>
          </w:tcPr>
          <w:p w14:paraId="6A03BACD" w14:textId="77777777" w:rsidR="00241D17" w:rsidRPr="005C1446" w:rsidRDefault="00241D17" w:rsidP="00417363">
            <w:pPr>
              <w:spacing w:after="0" w:line="240" w:lineRule="auto"/>
              <w:rPr>
                <w:rFonts w:eastAsia="Times New Roman" w:cs="Segoe UI"/>
                <w:b/>
                <w:i/>
                <w:iCs/>
                <w:sz w:val="20"/>
                <w:szCs w:val="20"/>
              </w:rPr>
            </w:pPr>
            <w:r w:rsidRPr="005C1446">
              <w:rPr>
                <w:rFonts w:eastAsia="Times New Roman" w:cs="Segoe UI"/>
                <w:b/>
                <w:i/>
                <w:iCs/>
                <w:sz w:val="20"/>
                <w:szCs w:val="20"/>
              </w:rPr>
              <w:t>Keyword:</w:t>
            </w:r>
          </w:p>
          <w:p w14:paraId="2C224894" w14:textId="77777777" w:rsidR="00417363" w:rsidRPr="005C1446" w:rsidRDefault="001E0508" w:rsidP="00886EB8">
            <w:pPr>
              <w:spacing w:after="0" w:line="240" w:lineRule="auto"/>
              <w:jc w:val="left"/>
              <w:rPr>
                <w:rFonts w:eastAsia="Times New Roman" w:cs="Segoe UI"/>
                <w:i/>
                <w:iCs/>
                <w:sz w:val="20"/>
                <w:szCs w:val="20"/>
                <w:lang w:val="en-US"/>
              </w:rPr>
            </w:pPr>
            <w:r w:rsidRPr="005C1446">
              <w:rPr>
                <w:rFonts w:eastAsia="Times New Roman" w:cs="Segoe UI"/>
                <w:i/>
                <w:iCs/>
                <w:sz w:val="20"/>
                <w:szCs w:val="20"/>
                <w:lang w:val="en-US"/>
              </w:rPr>
              <w:t>indictment analysis, judicial consideration, sexual abuse, child protection, criminal procedure law, victimology</w:t>
            </w:r>
          </w:p>
          <w:p w14:paraId="3A472424" w14:textId="77777777" w:rsidR="001E0508" w:rsidRPr="005C1446" w:rsidRDefault="001E0508" w:rsidP="00417363">
            <w:pPr>
              <w:spacing w:after="0" w:line="240" w:lineRule="auto"/>
              <w:rPr>
                <w:rFonts w:eastAsia="Times New Roman" w:cs="Segoe UI"/>
                <w:b/>
                <w:iCs/>
                <w:sz w:val="20"/>
                <w:szCs w:val="20"/>
                <w:lang w:val="en-US"/>
              </w:rPr>
            </w:pPr>
          </w:p>
          <w:p w14:paraId="564252C4" w14:textId="77777777" w:rsidR="00241D17" w:rsidRPr="005C1446" w:rsidRDefault="00241D17" w:rsidP="00417363">
            <w:pPr>
              <w:spacing w:after="0" w:line="240" w:lineRule="auto"/>
              <w:rPr>
                <w:rFonts w:eastAsia="Times New Roman" w:cs="Segoe UI"/>
                <w:b/>
                <w:iCs/>
                <w:sz w:val="20"/>
                <w:szCs w:val="20"/>
              </w:rPr>
            </w:pPr>
            <w:r w:rsidRPr="005C1446">
              <w:rPr>
                <w:rFonts w:eastAsia="Times New Roman" w:cs="Segoe UI"/>
                <w:b/>
                <w:iCs/>
                <w:sz w:val="20"/>
                <w:szCs w:val="20"/>
              </w:rPr>
              <w:t>Kata Kunci:</w:t>
            </w:r>
          </w:p>
          <w:p w14:paraId="496E134D" w14:textId="77777777" w:rsidR="00241D17" w:rsidRPr="005C1446" w:rsidRDefault="001E0508" w:rsidP="00886EB8">
            <w:pPr>
              <w:spacing w:after="0" w:line="240" w:lineRule="auto"/>
              <w:jc w:val="left"/>
              <w:rPr>
                <w:rFonts w:eastAsia="Times New Roman" w:cs="Segoe UI"/>
                <w:i/>
                <w:sz w:val="20"/>
                <w:szCs w:val="20"/>
              </w:rPr>
            </w:pPr>
            <w:r w:rsidRPr="005C1446">
              <w:rPr>
                <w:rFonts w:eastAsia="Times New Roman" w:cs="Segoe UI"/>
                <w:iCs/>
                <w:sz w:val="20"/>
                <w:szCs w:val="20"/>
                <w:lang w:val="fi-FI"/>
              </w:rPr>
              <w:t>analisis dakwaan, pertimbangan hukum hakim, perbuatan cabul, perlindungan anak, hukum acara pidana, viktimologi</w:t>
            </w:r>
          </w:p>
        </w:tc>
        <w:tc>
          <w:tcPr>
            <w:tcW w:w="3829" w:type="pct"/>
            <w:tcBorders>
              <w:top w:val="single" w:sz="4" w:space="0" w:color="auto"/>
              <w:bottom w:val="single" w:sz="4" w:space="0" w:color="auto"/>
            </w:tcBorders>
          </w:tcPr>
          <w:p w14:paraId="1EE7529B" w14:textId="77777777" w:rsidR="00147D80" w:rsidRPr="005C1446" w:rsidRDefault="00241D17" w:rsidP="001E0508">
            <w:pPr>
              <w:spacing w:after="0" w:line="240" w:lineRule="auto"/>
              <w:rPr>
                <w:rStyle w:val="Strong"/>
                <w:rFonts w:cs="Segoe UI"/>
                <w:b w:val="0"/>
                <w:bCs w:val="0"/>
                <w:i/>
                <w:iCs/>
                <w:sz w:val="20"/>
                <w:szCs w:val="20"/>
                <w:shd w:val="clear" w:color="auto" w:fill="FFFFFF"/>
              </w:rPr>
            </w:pPr>
            <w:r w:rsidRPr="005C1446">
              <w:rPr>
                <w:rFonts w:eastAsia="Times New Roman" w:cs="Segoe UI"/>
                <w:b/>
                <w:i/>
                <w:iCs/>
                <w:sz w:val="20"/>
                <w:szCs w:val="20"/>
              </w:rPr>
              <w:t>Abstract:</w:t>
            </w:r>
            <w:r w:rsidRPr="005C1446">
              <w:rPr>
                <w:rFonts w:cs="Segoe UI"/>
                <w:i/>
                <w:iCs/>
                <w:sz w:val="20"/>
                <w:szCs w:val="20"/>
              </w:rPr>
              <w:t xml:space="preserve"> </w:t>
            </w:r>
            <w:r w:rsidRPr="005C1446">
              <w:rPr>
                <w:rFonts w:cs="Segoe UI"/>
                <w:i/>
                <w:iCs/>
                <w:sz w:val="20"/>
                <w:szCs w:val="20"/>
                <w:shd w:val="clear" w:color="auto" w:fill="FFFFFF"/>
              </w:rPr>
              <w:t>This study analyzes the public prosecutor's indictment and the judge's legal considerations in a criminal case of indecent acts against a child, based on Sorong District Court Decision Number 284/Pid.Sus/2025/PN Sor. The child victim is referred to by the initials AK to protect her identity in accordance with child-protection principles. This study aims to determine the validity of the indictment and the adequacy of the judge's legal reasoning in this case. The research uses a normative legal method with a legal case study approach, combined with a statutory approach to examine the conformity between legal norms and their application in the decision. The results show that the single indictment charging the defendant under Article 82 paragraph (1) juncto Article 76E of the Child Protection Law fulfilled both the formal requirement regarding the defendant's identity and the material requirement regarding the charged offense, tempus delicti, and locus delicti. The judge's legal considerations were carried out in accordance with statutory provisions oriented toward legal protection and fulfillment of the child victim's rights, formulating the verdict by balancing juridical proof, namely mens rea and actus reus, with non-juridical elements, namely the victim's psychological impact and trauma, resulting in an eight-year prison sentence intended to provide deterrence and protection for child victims.</w:t>
            </w:r>
          </w:p>
          <w:p w14:paraId="2B58D1C9" w14:textId="77777777" w:rsidR="001E0508" w:rsidRPr="005C1446" w:rsidRDefault="001E0508" w:rsidP="001E0508">
            <w:pPr>
              <w:spacing w:after="0" w:line="240" w:lineRule="auto"/>
              <w:rPr>
                <w:rFonts w:eastAsia="Times New Roman" w:cs="Segoe UI"/>
                <w:sz w:val="20"/>
                <w:szCs w:val="20"/>
              </w:rPr>
            </w:pPr>
          </w:p>
          <w:p w14:paraId="0974DED2" w14:textId="77777777" w:rsidR="00886EB8" w:rsidRPr="005C1446" w:rsidRDefault="00886EB8" w:rsidP="001E0508">
            <w:pPr>
              <w:spacing w:after="0" w:line="240" w:lineRule="auto"/>
              <w:rPr>
                <w:rFonts w:eastAsia="Times New Roman" w:cs="Segoe UI"/>
                <w:b/>
                <w:iCs/>
                <w:sz w:val="20"/>
                <w:szCs w:val="20"/>
              </w:rPr>
            </w:pPr>
          </w:p>
          <w:p w14:paraId="6394C6C0" w14:textId="77777777" w:rsidR="00147D80" w:rsidRPr="005C1446" w:rsidRDefault="00241D17" w:rsidP="001E0508">
            <w:pPr>
              <w:spacing w:after="0" w:line="240" w:lineRule="auto"/>
              <w:rPr>
                <w:rStyle w:val="Strong"/>
                <w:rFonts w:cs="Segoe UI"/>
                <w:b w:val="0"/>
                <w:bCs w:val="0"/>
                <w:sz w:val="21"/>
                <w:szCs w:val="21"/>
                <w:shd w:val="clear" w:color="auto" w:fill="FFFFFF"/>
              </w:rPr>
            </w:pPr>
            <w:r w:rsidRPr="005C1446">
              <w:rPr>
                <w:rFonts w:eastAsia="Times New Roman" w:cs="Segoe UI"/>
                <w:b/>
                <w:iCs/>
                <w:sz w:val="20"/>
                <w:szCs w:val="20"/>
              </w:rPr>
              <w:t>Abstrak:</w:t>
            </w:r>
            <w:r w:rsidRPr="005C1446">
              <w:rPr>
                <w:rFonts w:eastAsia="Times New Roman" w:cs="Segoe UI"/>
                <w:iCs/>
                <w:sz w:val="20"/>
                <w:szCs w:val="20"/>
              </w:rPr>
              <w:t xml:space="preserve"> </w:t>
            </w:r>
            <w:r w:rsidRPr="005C1446">
              <w:rPr>
                <w:rFonts w:cs="Segoe UI"/>
                <w:sz w:val="20"/>
                <w:szCs w:val="20"/>
                <w:shd w:val="clear" w:color="auto" w:fill="FFFFFF"/>
              </w:rPr>
              <w:t xml:space="preserve">Penelitian ini menganalisis dakwaan Jaksa Penuntut Umum dan pertimbangan hukum Hakim dalam tindak pidana perbuatan cabul terhadap anak berdasarkan Putusan Pengadilan Negeri Sorong Nomor 284/Pid.Sus/2025/PN Sor. Identitas anak korban dalam artikel ini disebut dengan inisial AK guna melindungi identitasnya sesuai prinsip perlindungan anak. Penelitian ini bertujuan untuk mengetahui keabsahan dakwaan dan kecukupan pertimbangan hukum Hakim dalam perkara ini. Penelitian menggunakan metode normatif melalui pendekatan studi kasus hukum, dipadukan dengan pendekatan perundang-undangan untuk mengkaji kesesuaian antara norma hukum dan penerapannya dalam putusan. Hasil </w:t>
            </w:r>
            <w:r w:rsidRPr="005C1446">
              <w:rPr>
                <w:rFonts w:cs="Segoe UI"/>
                <w:sz w:val="20"/>
                <w:szCs w:val="20"/>
                <w:shd w:val="clear" w:color="auto" w:fill="FFFFFF"/>
              </w:rPr>
              <w:lastRenderedPageBreak/>
              <w:t>penelitian menunjukkan bahwa dakwaan tunggal yang mendakwa terdakwa berdasarkan Pasal 82 ayat (1) juncto Pasal 76E Undang-Undang Perlindungan Anak telah memenuhi syarat formil mengenai identitas terdakwa dan syarat materiil mengenai fakta tindak pidana, tempus delicti, dan locus delicti. Pertimbangan hukum Hakim telah dilakukan sesuai ketentuan perundang-undangan yang bermuara pada perlindungan hukum dan pemenuhan hak-hak anak korban, dengan merumuskan putusan berdasarkan keseimbangan antara pembuktian yuridis, yaitu mens rea dan actus reus, dengan unsur non-yuridis, yaitu dampak psikologis dan trauma korban, sehingga menghasilkan putusan pidana penjara delapan tahun yang memberikan efek jera sekaligus perlindungan bagi anak korban.</w:t>
            </w:r>
          </w:p>
          <w:p w14:paraId="5D9990E2" w14:textId="77777777" w:rsidR="001E0508" w:rsidRPr="005C1446" w:rsidRDefault="001E0508" w:rsidP="001E0508">
            <w:pPr>
              <w:spacing w:after="0" w:line="240" w:lineRule="auto"/>
              <w:rPr>
                <w:rFonts w:eastAsia="Times New Roman" w:cs="Segoe UI"/>
                <w:iCs/>
                <w:sz w:val="20"/>
                <w:szCs w:val="20"/>
              </w:rPr>
            </w:pPr>
          </w:p>
        </w:tc>
      </w:tr>
      <w:tr w:rsidR="00241D17" w:rsidRPr="005C1446" w14:paraId="795DC078" w14:textId="77777777" w:rsidTr="00550BFE">
        <w:trPr>
          <w:trHeight w:val="161"/>
        </w:trPr>
        <w:tc>
          <w:tcPr>
            <w:tcW w:w="5000" w:type="pct"/>
            <w:gridSpan w:val="2"/>
            <w:tcBorders>
              <w:top w:val="single" w:sz="4" w:space="0" w:color="auto"/>
              <w:bottom w:val="single" w:sz="4" w:space="0" w:color="auto"/>
            </w:tcBorders>
          </w:tcPr>
          <w:p w14:paraId="3BB0669F" w14:textId="77777777" w:rsidR="00550BFE" w:rsidRPr="005C1446" w:rsidRDefault="00241D17" w:rsidP="00732CD5">
            <w:pPr>
              <w:spacing w:after="0" w:line="240" w:lineRule="auto"/>
              <w:rPr>
                <w:rFonts w:cs="Segoe UI"/>
                <w:sz w:val="20"/>
                <w:szCs w:val="20"/>
              </w:rPr>
            </w:pPr>
            <w:r w:rsidRPr="005C1446">
              <w:rPr>
                <w:rFonts w:cs="Segoe UI"/>
                <w:b/>
                <w:sz w:val="20"/>
                <w:szCs w:val="20"/>
              </w:rPr>
              <w:lastRenderedPageBreak/>
              <w:t>Informasi Artikel</w:t>
            </w:r>
            <w:r w:rsidRPr="005C1446">
              <w:rPr>
                <w:rFonts w:cs="Segoe UI"/>
                <w:sz w:val="20"/>
                <w:szCs w:val="20"/>
              </w:rPr>
              <w:t>:  Diterima: [diisi panitia], Disetujui: [diisi panitia], Dipublikasikan: [diisi panitia]</w:t>
            </w:r>
          </w:p>
        </w:tc>
      </w:tr>
    </w:tbl>
    <w:p w14:paraId="1CADAC37" w14:textId="77777777" w:rsidR="005D710E" w:rsidRPr="005C1446" w:rsidRDefault="005D710E" w:rsidP="005B7859">
      <w:pPr>
        <w:spacing w:after="0" w:line="360" w:lineRule="auto"/>
        <w:ind w:right="-29"/>
        <w:rPr>
          <w:rFonts w:cs="Segoe UI"/>
          <w:b/>
          <w:sz w:val="24"/>
          <w:szCs w:val="24"/>
        </w:rPr>
        <w:sectPr w:rsidR="005D710E" w:rsidRPr="005C1446"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4DB46DC1" w14:textId="77777777" w:rsidR="001E0508" w:rsidRPr="005C1446" w:rsidRDefault="00E02EE7" w:rsidP="00E02EE7">
      <w:pPr>
        <w:pStyle w:val="Heading3"/>
        <w:ind w:firstLine="66"/>
      </w:pPr>
      <w:r w:rsidRPr="005C1446">
        <w:t>PENDAHULUAN</w:t>
      </w:r>
    </w:p>
    <w:p w14:paraId="1DE372A9" w14:textId="77777777" w:rsidR="00DA2436" w:rsidRPr="005C1446" w:rsidRDefault="00000000">
      <w:pPr>
        <w:pStyle w:val="IEEEParagraph"/>
        <w:ind w:left="567" w:right="322" w:firstLine="567"/>
        <w:rPr>
          <w:rFonts w:ascii="Segoe UI" w:hAnsi="Segoe UI" w:cs="Segoe UI"/>
          <w:sz w:val="22"/>
          <w:szCs w:val="22"/>
          <w:lang w:val="sv-SE"/>
        </w:rPr>
      </w:pPr>
      <w:r w:rsidRPr="005C1446">
        <w:rPr>
          <w:rFonts w:ascii="Segoe UI" w:hAnsi="Segoe UI" w:cs="Segoe UI"/>
          <w:sz w:val="22"/>
          <w:szCs w:val="22"/>
        </w:rPr>
        <w:t xml:space="preserve">Alinea keempat Pembukaan Undang-Undang Dasar Negara Republik Indonesia Tahun 1945 menegaskan bahwa salah satu tujuan negara adalah melindungi segenap bangsa Indonesia. </w:t>
      </w:r>
      <w:r w:rsidRPr="005C1446">
        <w:rPr>
          <w:rFonts w:ascii="Segoe UI" w:hAnsi="Segoe UI" w:cs="Segoe UI"/>
          <w:sz w:val="22"/>
          <w:szCs w:val="22"/>
          <w:lang w:val="sv-SE"/>
        </w:rPr>
        <w:t>Amanat konstitusional ini menuntut adanya perlindungan hukum bagi setiap warga negara, termasuk perlindungan terhadap korban tindak pidana, yang dalam sistem peradilan pidana nasional kerap berada pada posisi kurang menguntungkan karena hanya berperan sebagai pelengkap pembuktian, bukan sebagai pihak yang terlibat langsung dalam menentukan proses hukum.</w:t>
      </w:r>
    </w:p>
    <w:p w14:paraId="39B2864D" w14:textId="77777777" w:rsidR="00DA2436" w:rsidRPr="005C1446" w:rsidRDefault="00000000">
      <w:pPr>
        <w:pStyle w:val="IEEEParagraph"/>
        <w:ind w:left="567" w:right="322" w:firstLine="567"/>
        <w:rPr>
          <w:rFonts w:ascii="Segoe UI" w:hAnsi="Segoe UI" w:cs="Segoe UI"/>
          <w:sz w:val="22"/>
          <w:szCs w:val="22"/>
          <w:lang w:val="sv-SE"/>
        </w:rPr>
      </w:pPr>
      <w:r w:rsidRPr="005C1446">
        <w:rPr>
          <w:rFonts w:ascii="Segoe UI" w:hAnsi="Segoe UI" w:cs="Segoe UI"/>
          <w:sz w:val="22"/>
          <w:szCs w:val="22"/>
          <w:lang w:val="sv-SE"/>
        </w:rPr>
        <w:t>Anak sebagai generasi penerus bangsa memerlukan pembinaan dan perlindungan khusus, mengingat kondisi fisik dan mentalnya yang masih dalam tahap perkembangan membuat anak rentan terhadap pengaruh internal maupun eksternal di lingkungan sekitarnya. Kerentanan tersebut kerap dimanfaatkan oleh pihak-pihak tertentu untuk melakukan perbuatan menyimpang, salah satunya tindak pidana perbuatan cabul terhadap anak. Data Kementerian Pemberdayaan Perempuan dan Perlindungan Anak melalui Sistem Informasi Online Perlindungan Perempuan dan Anak (SIMFONI PPA) mencatat bahwa pada tahun 2023 kekerasan dengan korban anak mencapai 57,5% dari total kasus, lebih tinggi dibandingkan korban dewasa, dengan jumlah keseluruhan 11.841 kasus, di mana korban anak perempuan mencapai 9.610 kasus dan anak laki-laki 3.610 kasus.</w:t>
      </w:r>
    </w:p>
    <w:p w14:paraId="10D707B3" w14:textId="77777777" w:rsidR="00DA2436" w:rsidRPr="005C1446" w:rsidRDefault="00000000">
      <w:pPr>
        <w:pStyle w:val="IEEEParagraph"/>
        <w:ind w:left="567" w:right="322" w:firstLine="567"/>
        <w:rPr>
          <w:rFonts w:ascii="Segoe UI" w:hAnsi="Segoe UI" w:cs="Segoe UI"/>
          <w:sz w:val="22"/>
          <w:szCs w:val="22"/>
          <w:lang w:val="sv-SE"/>
        </w:rPr>
      </w:pPr>
      <w:r w:rsidRPr="005C1446">
        <w:rPr>
          <w:rFonts w:ascii="Segoe UI" w:hAnsi="Segoe UI" w:cs="Segoe UI"/>
          <w:sz w:val="22"/>
          <w:szCs w:val="22"/>
          <w:lang w:val="sv-SE"/>
        </w:rPr>
        <w:t>Ketentuan mengenai perlindungan anak di Indonesia diatur secara khusus dalam Undang-Undang Nomor 35 Tahun 2014 tentang Perubahan atas Undang-Undang Nomor 23 Tahun 2002 tentang Perlindungan Anak, yang secara tegas mengatur ancaman pidana bagi pelaku tindak pidana perbuatan cabul terhadap anak dalam Pasal 82 juncto Pasal 76E. Ketentuan tersebut kini beririsan pula dengan Pasal 415 Undang-Undang Nomor 1 Tahun 2023 tentang Kitab Undang-Undang Hukum Pidana Nasional, yang memberikan definisi normatif mengenai unsur "perbuatan cabul".</w:t>
      </w:r>
    </w:p>
    <w:p w14:paraId="244F1BB2" w14:textId="77777777" w:rsidR="00DA2436" w:rsidRPr="005C1446" w:rsidRDefault="00000000">
      <w:pPr>
        <w:pStyle w:val="IEEEParagraph"/>
        <w:ind w:left="567" w:right="322" w:firstLine="567"/>
        <w:rPr>
          <w:rFonts w:ascii="Segoe UI" w:hAnsi="Segoe UI" w:cs="Segoe UI"/>
          <w:sz w:val="22"/>
          <w:szCs w:val="22"/>
          <w:lang w:val="sv-SE"/>
        </w:rPr>
      </w:pPr>
      <w:r w:rsidRPr="005C1446">
        <w:rPr>
          <w:rFonts w:ascii="Segoe UI" w:hAnsi="Segoe UI" w:cs="Segoe UI"/>
          <w:sz w:val="22"/>
          <w:szCs w:val="22"/>
          <w:lang w:val="sv-SE"/>
        </w:rPr>
        <w:t xml:space="preserve">Penegakan hukum terhadap tindak pidana ini bergantung pada dua elemen kunci dalam proses peradilan pidana, yaitu surat dakwaan yang disusun oleh Jaksa Penuntut Umum sebagai dasar pemeriksaan perkara, dan pertimbangan hukum Hakim (ratio decidendi) yang menjadi intisari putusan. Surat dakwaan yang tidak memenuhi syarat formil maupun materiil sebagaimana diatur Pasal 143 ayat (2) Kitab Undang-Undang Hukum Acara Pidana dapat batal demi hukum, sementara pertimbangan hukum Hakim yang tidak cermat berisiko dibatalkan oleh pengadilan yang lebih tinggi. Kasus tindak pidana perbuatan cabul terhadap anak berdasarkan Putusan Pengadilan Negeri Sorong Nomor 284/Pid.Sus/2025/PN Sor menjadi locus penelitian yang relevan </w:t>
      </w:r>
      <w:r w:rsidRPr="005C1446">
        <w:rPr>
          <w:rFonts w:ascii="Segoe UI" w:hAnsi="Segoe UI" w:cs="Segoe UI"/>
          <w:sz w:val="22"/>
          <w:szCs w:val="22"/>
          <w:lang w:val="sv-SE"/>
        </w:rPr>
        <w:lastRenderedPageBreak/>
        <w:t>untuk mengkaji secara kritis bagaimana kedua elemen tersebut diterapkan dalam praktik peradilan.</w:t>
      </w:r>
    </w:p>
    <w:p w14:paraId="09E641F3" w14:textId="77777777" w:rsidR="00DA2436" w:rsidRPr="005C1446" w:rsidRDefault="00000000">
      <w:pPr>
        <w:pStyle w:val="IEEEParagraph"/>
        <w:ind w:left="567" w:right="322" w:firstLine="567"/>
        <w:rPr>
          <w:rFonts w:ascii="Segoe UI" w:hAnsi="Segoe UI" w:cs="Segoe UI"/>
          <w:sz w:val="22"/>
          <w:szCs w:val="22"/>
          <w:lang w:val="sv-SE"/>
        </w:rPr>
      </w:pPr>
      <w:r w:rsidRPr="005C1446">
        <w:rPr>
          <w:rFonts w:ascii="Segoe UI" w:hAnsi="Segoe UI" w:cs="Segoe UI"/>
          <w:sz w:val="22"/>
          <w:szCs w:val="22"/>
          <w:lang w:val="sv-SE"/>
        </w:rPr>
        <w:t>Kajian mengenai perlindungan hukum bagi anak korban tindak pidana kesusilaan telah cukup berkembang dalam literatur viktimologi dan hukum pidana Indonesia, sebagaimana ditunjukkan oleh kajian Wiguno (2013) mengenai viktimologi terhadap anak sebagai korban tindak pidana kesusilaan. Namun demikian, mayoritas kajian terdahulu lebih menitikberatkan pada aspek viktimologis secara umum, sementara analisis yuridis yang secara spesifik mengurai kesesuaian antara bentuk dakwaan Jaksa Penuntut Umum dengan fakta persidangan, serta bagaimana Hakim menyeimbangkan unsur pembuktian yuridis (mens rea dan actus reus) dengan unsur non-yuridis berupa dampak psikologis dan trauma korban dalam perkara perbuatan cabul terhadap anak di wilayah Papua Barat Daya, masih terbatas.</w:t>
      </w:r>
    </w:p>
    <w:p w14:paraId="617CC94A" w14:textId="77777777" w:rsidR="00DA2436" w:rsidRPr="005C1446" w:rsidRDefault="00000000">
      <w:pPr>
        <w:pStyle w:val="IEEEParagraph"/>
        <w:ind w:left="567" w:right="322" w:firstLine="567"/>
        <w:rPr>
          <w:rFonts w:ascii="Segoe UI" w:hAnsi="Segoe UI" w:cs="Segoe UI"/>
          <w:sz w:val="22"/>
          <w:szCs w:val="22"/>
          <w:lang w:val="sv-SE"/>
        </w:rPr>
      </w:pPr>
      <w:r w:rsidRPr="005C1446">
        <w:rPr>
          <w:rFonts w:ascii="Segoe UI" w:hAnsi="Segoe UI" w:cs="Segoe UI"/>
          <w:sz w:val="22"/>
          <w:szCs w:val="22"/>
          <w:lang w:val="sv-SE"/>
        </w:rPr>
        <w:t>Berdasarkan uraian tersebut, penelitian ini bertujuan untuk mengetahui dan menganalisis secara yuridis dakwaan Jaksa Penuntut Umum dalam tindak pidana perbuatan cabul terhadap anak berdasarkan Putusan Pengadilan Negeri Sorong Nomor 284/Pid.Sus/2025/PN Sor, serta untuk mengetahui dan menganalisis secara yuridis pertimbangan hukum Hakim dalam putusan tersebut.</w:t>
      </w:r>
    </w:p>
    <w:p w14:paraId="0B42F6B3" w14:textId="77777777" w:rsidR="00DA2436" w:rsidRPr="005C1446" w:rsidRDefault="00000000">
      <w:pPr>
        <w:pStyle w:val="IEEEParagraph"/>
        <w:ind w:left="567" w:right="322" w:firstLine="567"/>
        <w:rPr>
          <w:rFonts w:ascii="Segoe UI" w:hAnsi="Segoe UI" w:cs="Segoe UI"/>
          <w:sz w:val="22"/>
          <w:szCs w:val="22"/>
          <w:lang w:val="sv-SE"/>
        </w:rPr>
      </w:pPr>
      <w:r w:rsidRPr="005C1446">
        <w:rPr>
          <w:rFonts w:ascii="Segoe UI" w:hAnsi="Segoe UI" w:cs="Segoe UI"/>
          <w:sz w:val="22"/>
          <w:szCs w:val="22"/>
          <w:lang w:val="sv-SE"/>
        </w:rPr>
        <w:t>Penelitian ini diharapkan memberikan kontribusi teoretis bagi pengembangan kajian hukum pidana dan viktimologi mengenai perlindungan anak sebagai korban tindak pidana kesusilaan, serta kontribusi praktis berupa masukan bagi aparat penegak hukum, khususnya Jaksa Penuntut Umum dan Hakim, dalam merumuskan dakwaan dan putusan yang berkeadilan, memberikan efek jera, dan berorientasi pada pemulihan hak-hak korban anak.</w:t>
      </w:r>
    </w:p>
    <w:p w14:paraId="22FEEA33" w14:textId="77777777" w:rsidR="001E0508" w:rsidRPr="005C1446" w:rsidRDefault="001C62FB" w:rsidP="00955050">
      <w:pPr>
        <w:pStyle w:val="Heading3"/>
        <w:ind w:left="1134" w:right="322" w:hanging="425"/>
      </w:pPr>
      <w:r w:rsidRPr="005C1446">
        <w:t xml:space="preserve">METODOLOGI PENELITIAN </w:t>
      </w:r>
    </w:p>
    <w:p w14:paraId="286B70B5" w14:textId="77777777" w:rsidR="00DA2436" w:rsidRPr="005C1446" w:rsidRDefault="00000000">
      <w:pPr>
        <w:pStyle w:val="Heading4"/>
        <w:ind w:left="567" w:right="322" w:firstLine="567"/>
        <w:rPr>
          <w:rStyle w:val="mediumtext"/>
          <w:rFonts w:ascii="Segoe UI" w:hAnsi="Segoe UI" w:cs="Segoe UI"/>
          <w:color w:val="auto"/>
        </w:rPr>
      </w:pPr>
      <w:r w:rsidRPr="005C1446">
        <w:rPr>
          <w:rStyle w:val="mediumtext"/>
          <w:rFonts w:ascii="Segoe UI" w:hAnsi="Segoe UI" w:cs="Segoe UI"/>
          <w:b/>
          <w:color w:val="auto"/>
        </w:rPr>
        <w:t>2.1 Jenis dan Pendekatan Penelitian</w:t>
      </w:r>
    </w:p>
    <w:p w14:paraId="3CCFA2DA" w14:textId="77777777" w:rsidR="00DA2436" w:rsidRPr="005C1446" w:rsidRDefault="00000000">
      <w:pPr>
        <w:pStyle w:val="IEEEParagraph"/>
        <w:ind w:left="567" w:right="322" w:firstLine="567"/>
        <w:rPr>
          <w:rFonts w:ascii="Segoe UI" w:hAnsi="Segoe UI" w:cs="Segoe UI"/>
          <w:sz w:val="22"/>
          <w:szCs w:val="22"/>
          <w:lang w:val="id-ID"/>
        </w:rPr>
      </w:pPr>
      <w:r w:rsidRPr="005C1446">
        <w:rPr>
          <w:rFonts w:ascii="Segoe UI" w:hAnsi="Segoe UI" w:cs="Segoe UI"/>
          <w:sz w:val="22"/>
          <w:szCs w:val="22"/>
          <w:lang w:val="id-ID"/>
        </w:rPr>
        <w:t>Penelitian ini menggunakan jenis penelitian hukum normatif, yaitu penelitian yang berfokus pada pengkajian dakwaan Jaksa Penuntut Umum dan pertimbangan hukum Hakim terkait tindak pidana perbuatan cabul terhadap anak. Pendekatan yang digunakan adalah pendekatan studi kasus hukum (legal case study approach) terhadap Putusan Pengadilan Negeri Sorong Nomor 284/Pid.Sus/2025/PN Sor, yang dipadukan dengan pendekatan perundang-undangan (statute approach) untuk mengkaji kesesuaian antara norma hukum dan penerapannya dalam putusan.</w:t>
      </w:r>
    </w:p>
    <w:p w14:paraId="04A74989" w14:textId="77777777" w:rsidR="00DA2436" w:rsidRPr="005C1446" w:rsidRDefault="00000000">
      <w:pPr>
        <w:pStyle w:val="Heading4"/>
        <w:ind w:left="567" w:right="322" w:firstLine="567"/>
        <w:rPr>
          <w:rStyle w:val="mediumtext"/>
          <w:rFonts w:ascii="Segoe UI" w:hAnsi="Segoe UI" w:cs="Segoe UI"/>
          <w:color w:val="auto"/>
        </w:rPr>
      </w:pPr>
      <w:r w:rsidRPr="005C1446">
        <w:rPr>
          <w:rStyle w:val="mediumtext"/>
          <w:rFonts w:ascii="Segoe UI" w:hAnsi="Segoe UI" w:cs="Segoe UI"/>
          <w:b/>
          <w:color w:val="auto"/>
        </w:rPr>
        <w:t>2.2 Bahan Hukum dan Sumber Bahan Hukum</w:t>
      </w:r>
    </w:p>
    <w:p w14:paraId="20BCB30F" w14:textId="77777777" w:rsidR="00DA2436" w:rsidRPr="005C1446" w:rsidRDefault="00000000">
      <w:pPr>
        <w:pStyle w:val="IEEEParagraph"/>
        <w:ind w:left="567" w:right="322" w:firstLine="567"/>
        <w:rPr>
          <w:rFonts w:ascii="Segoe UI" w:hAnsi="Segoe UI" w:cs="Segoe UI"/>
          <w:sz w:val="22"/>
          <w:szCs w:val="22"/>
          <w:lang w:val="sv-SE"/>
        </w:rPr>
      </w:pPr>
      <w:r w:rsidRPr="005C1446">
        <w:rPr>
          <w:rFonts w:ascii="Segoe UI" w:hAnsi="Segoe UI" w:cs="Segoe UI"/>
          <w:sz w:val="22"/>
          <w:szCs w:val="22"/>
          <w:lang w:val="sv-SE"/>
        </w:rPr>
        <w:t>Bahan hukum primer dalam penelitian ini mencakup Kitab Undang-Undang Hukum Acara Pidana, Undang-Undang Nomor 35 Tahun 2014 tentang Perubahan atas Undang-Undang Nomor 23 Tahun 2002 tentang Perlindungan Anak, Undang-Undang Nomor 1 Tahun 2023 tentang Kitab Undang-Undang Hukum Pidana, Undang-Undang Nomor 48 Tahun 2009 tentang Kekuasaan Kehakiman, serta Putusan Pengadilan Negeri Sorong Nomor 284/Pid.Sus/2025/PN Sor. Bahan hukum sekunder diperoleh dari buku, jurnal ilmiah, dan hasil penelitian terdahulu yang relevan dengan tindak pidana perbuatan cabul terhadap anak.</w:t>
      </w:r>
    </w:p>
    <w:p w14:paraId="022E1953" w14:textId="77777777" w:rsidR="00DA2436" w:rsidRPr="005C1446" w:rsidRDefault="00000000">
      <w:pPr>
        <w:pStyle w:val="Heading4"/>
        <w:ind w:left="567" w:right="322" w:firstLine="567"/>
        <w:rPr>
          <w:rStyle w:val="mediumtext"/>
          <w:rFonts w:ascii="Segoe UI" w:hAnsi="Segoe UI" w:cs="Segoe UI"/>
          <w:color w:val="auto"/>
        </w:rPr>
      </w:pPr>
      <w:r w:rsidRPr="005C1446">
        <w:rPr>
          <w:rStyle w:val="mediumtext"/>
          <w:rFonts w:ascii="Segoe UI" w:hAnsi="Segoe UI" w:cs="Segoe UI"/>
          <w:b/>
          <w:color w:val="auto"/>
        </w:rPr>
        <w:t>2.3 Teknik Pengumpulan Bahan Hukum</w:t>
      </w:r>
    </w:p>
    <w:p w14:paraId="3D8E3495" w14:textId="77777777" w:rsidR="00DA2436" w:rsidRPr="005C1446" w:rsidRDefault="00000000">
      <w:pPr>
        <w:pStyle w:val="IEEEParagraph"/>
        <w:ind w:left="567" w:right="322" w:firstLine="567"/>
        <w:rPr>
          <w:rFonts w:ascii="Segoe UI" w:hAnsi="Segoe UI" w:cs="Segoe UI"/>
          <w:sz w:val="22"/>
          <w:szCs w:val="22"/>
          <w:lang w:val="sv-SE"/>
        </w:rPr>
      </w:pPr>
      <w:r w:rsidRPr="005C1446">
        <w:rPr>
          <w:rFonts w:ascii="Segoe UI" w:hAnsi="Segoe UI" w:cs="Segoe UI"/>
          <w:sz w:val="22"/>
          <w:szCs w:val="22"/>
          <w:lang w:val="sv-SE"/>
        </w:rPr>
        <w:t>Bahan hukum dikumpulkan melalui studi kepustakaan (library research), yaitu dengan menelusuri, mengidentifikasi, dan menginventarisasi dokumen putusan pengadilan, peraturan perundang-undangan, serta literatur ilmiah yang relevan dengan isu hukum yang dikaji.</w:t>
      </w:r>
    </w:p>
    <w:p w14:paraId="13841126" w14:textId="77777777" w:rsidR="00DA2436" w:rsidRPr="005C1446" w:rsidRDefault="00000000">
      <w:pPr>
        <w:pStyle w:val="Heading4"/>
        <w:ind w:left="567" w:right="322" w:firstLine="567"/>
        <w:rPr>
          <w:rStyle w:val="mediumtext"/>
          <w:rFonts w:ascii="Segoe UI" w:hAnsi="Segoe UI" w:cs="Segoe UI"/>
          <w:color w:val="auto"/>
        </w:rPr>
      </w:pPr>
      <w:r w:rsidRPr="005C1446">
        <w:rPr>
          <w:rStyle w:val="mediumtext"/>
          <w:rFonts w:ascii="Segoe UI" w:hAnsi="Segoe UI" w:cs="Segoe UI"/>
          <w:b/>
          <w:color w:val="auto"/>
        </w:rPr>
        <w:lastRenderedPageBreak/>
        <w:t>2.4 Teknik Analisis Bahan Hukum</w:t>
      </w:r>
    </w:p>
    <w:p w14:paraId="4C92A131" w14:textId="77777777" w:rsidR="00DA2436" w:rsidRPr="005C1446" w:rsidRDefault="00000000">
      <w:pPr>
        <w:pStyle w:val="IEEEParagraph"/>
        <w:ind w:left="567" w:right="322" w:firstLine="567"/>
        <w:rPr>
          <w:rFonts w:ascii="Segoe UI" w:hAnsi="Segoe UI" w:cs="Segoe UI"/>
          <w:sz w:val="22"/>
          <w:szCs w:val="22"/>
          <w:lang w:val="sv-SE"/>
        </w:rPr>
      </w:pPr>
      <w:r w:rsidRPr="005C1446">
        <w:rPr>
          <w:rFonts w:ascii="Segoe UI" w:hAnsi="Segoe UI" w:cs="Segoe UI"/>
          <w:sz w:val="22"/>
          <w:szCs w:val="22"/>
          <w:lang w:val="sv-SE"/>
        </w:rPr>
        <w:t>Bahan hukum yang telah terkumpul dianalisis secara kualitatif dengan metode deskriptif-analitis, yaitu dengan menguraikan fakta hukum dalam putusan, mengaitkannya dengan norma dan teori hukum acara pidana yang relevan, kemudian menganalisis kesesuaian antara dakwaan, pembuktian, dan pertimbangan hukum Hakim secara kritis argumentatif untuk menjawab rumusan masalah penelitian.</w:t>
      </w:r>
    </w:p>
    <w:p w14:paraId="303EAC18" w14:textId="77777777" w:rsidR="001E0508" w:rsidRPr="005C1446" w:rsidRDefault="006F0069" w:rsidP="006F0069">
      <w:pPr>
        <w:pStyle w:val="Heading3"/>
        <w:ind w:left="1134" w:hanging="283"/>
      </w:pPr>
      <w:r w:rsidRPr="005C1446">
        <w:rPr>
          <w:iCs/>
        </w:rPr>
        <w:t>HASIL DA</w:t>
      </w:r>
      <w:r w:rsidRPr="005C1446">
        <w:t>N PEMBAHASAN</w:t>
      </w:r>
    </w:p>
    <w:p w14:paraId="6F5CDFA5" w14:textId="77777777" w:rsidR="00DA2436" w:rsidRPr="005C1446" w:rsidRDefault="00000000">
      <w:pPr>
        <w:pStyle w:val="IEEEParagraph"/>
        <w:ind w:left="567" w:right="322" w:firstLine="567"/>
        <w:rPr>
          <w:rFonts w:ascii="Segoe UI" w:hAnsi="Segoe UI" w:cs="Segoe UI"/>
          <w:sz w:val="22"/>
          <w:szCs w:val="22"/>
        </w:rPr>
      </w:pPr>
      <w:r w:rsidRPr="005C1446">
        <w:rPr>
          <w:rFonts w:ascii="Segoe UI" w:hAnsi="Segoe UI" w:cs="Segoe UI"/>
          <w:sz w:val="22"/>
          <w:szCs w:val="22"/>
        </w:rPr>
        <w:t>Hasil dan pembahasan penelitian ini disajikan secara terpadu untuk menjawab dua rumusan masalah, yaitu analisis yuridis atas dakwaan Jaksa Penuntut Umum dan analisis yuridis atas pertimbangan hukum Hakim dalam tindak pidana perbuatan cabul terhadap anak berdasarkan Putusan Pengadilan Negeri Sorong Nomor 284/Pid.Sus/2025/PN Sor. Demi melindungi identitas anak korban sesuai prinsip perlindungan anak, identitas korban dalam artikel ini disebut dengan inisial AK (Anak Korban), sedangkan terdakwa disebut dengan inisial HV, sejalan dengan kebijakan Mahkamah Agung mengenai anonimisasi identitas anak dalam publikasi putusan.</w:t>
      </w:r>
    </w:p>
    <w:p w14:paraId="58FCAF5B" w14:textId="77777777" w:rsidR="00DA2436" w:rsidRPr="005C1446" w:rsidRDefault="00000000">
      <w:pPr>
        <w:pStyle w:val="Heading4"/>
        <w:ind w:left="567" w:right="322" w:firstLine="567"/>
        <w:rPr>
          <w:rStyle w:val="mediumtext"/>
          <w:rFonts w:ascii="Segoe UI" w:hAnsi="Segoe UI" w:cs="Segoe UI"/>
          <w:color w:val="auto"/>
        </w:rPr>
      </w:pPr>
      <w:r w:rsidRPr="005C1446">
        <w:rPr>
          <w:rStyle w:val="mediumtext"/>
          <w:rFonts w:ascii="Segoe UI" w:hAnsi="Segoe UI" w:cs="Segoe UI"/>
          <w:b/>
          <w:color w:val="auto"/>
        </w:rPr>
        <w:t>3.1 Analisis Dakwaan Jaksa Penuntut Umum</w:t>
      </w:r>
    </w:p>
    <w:p w14:paraId="70E01DFB" w14:textId="77777777" w:rsidR="00DA2436" w:rsidRPr="005C1446" w:rsidRDefault="00000000">
      <w:pPr>
        <w:pStyle w:val="IEEEParagraph"/>
        <w:ind w:left="567" w:right="322" w:firstLine="567"/>
        <w:rPr>
          <w:rFonts w:ascii="Segoe UI" w:hAnsi="Segoe UI" w:cs="Segoe UI"/>
          <w:sz w:val="22"/>
          <w:szCs w:val="22"/>
        </w:rPr>
      </w:pPr>
      <w:r w:rsidRPr="005C1446">
        <w:rPr>
          <w:rFonts w:ascii="Segoe UI" w:hAnsi="Segoe UI" w:cs="Segoe UI"/>
          <w:sz w:val="22"/>
          <w:szCs w:val="22"/>
        </w:rPr>
        <w:t>Surat dakwaan merupakan dokumen yang disusun oleh Jaksa Penuntut Umum berdasarkan Berita Acara Pemeriksaan dari penyidik, yang memuat uraian lengkap, tepat, dan menyeluruh mengenai unsur-unsur tindak pidana yang didakwakan, sebagaimana diatur Pasal 140 ayat (1) juncto Pasal 143 ayat (2) Kitab Undang-Undang Hukum Acara Pidana. Surat dakwaan yang baik harus memenuhi dua syarat kumulatif: syarat formil, yaitu identitas lengkap terdakwa beserta tanggal dan tanda tangan Penuntut Umum, dan syarat materiil, yaitu uraian secara cermat, jelas, dan lengkap mengenai tindak pidana yang didakwakan, waktu dan tempat terjadinya tindak pidana (tempus delicti dan locus delicti), serta pasal-pasal peraturan perundang-undangan yang dilanggar. Surat dakwaan yang tidak memenuhi syarat materiil dikualifikasikan batal demi hukum (null and void/vanrechtswegenietig).</w:t>
      </w:r>
    </w:p>
    <w:p w14:paraId="60EB23E9" w14:textId="77777777" w:rsidR="00DA2436" w:rsidRPr="005C1446" w:rsidRDefault="00000000">
      <w:pPr>
        <w:pStyle w:val="IEEEParagraph"/>
        <w:ind w:left="567" w:right="322" w:firstLine="567"/>
        <w:rPr>
          <w:rFonts w:ascii="Segoe UI" w:hAnsi="Segoe UI" w:cs="Segoe UI"/>
          <w:sz w:val="22"/>
          <w:szCs w:val="22"/>
        </w:rPr>
      </w:pPr>
      <w:r w:rsidRPr="005C1446">
        <w:rPr>
          <w:rFonts w:ascii="Segoe UI" w:hAnsi="Segoe UI" w:cs="Segoe UI"/>
          <w:sz w:val="22"/>
          <w:szCs w:val="22"/>
        </w:rPr>
        <w:t>Dalam praktik peradilan pidana, dikenal beberapa bentuk surat dakwaan, yaitu dakwaan tunggal, alternatif, subsidair, kumulatif, dan kombinasi. Dakwaan tunggal digunakan ketika Jaksa Penuntut Umum meyakini hanya terdapat satu peristiwa tindak pidana yang dapat dibuktikan dalam persidangan, sehingga menjadi bentuk yang paling mudah dari segi pembuktian dibandingkan bentuk dakwaan lain yang memerlukan pertimbangan alternatif atau bertingkat.</w:t>
      </w:r>
    </w:p>
    <w:p w14:paraId="37CD9A0E" w14:textId="77777777" w:rsidR="00DA2436" w:rsidRPr="005C1446" w:rsidRDefault="00000000">
      <w:pPr>
        <w:pStyle w:val="IEEEParagraph"/>
        <w:ind w:left="567" w:right="322" w:firstLine="567"/>
        <w:rPr>
          <w:rFonts w:ascii="Segoe UI" w:hAnsi="Segoe UI" w:cs="Segoe UI"/>
          <w:sz w:val="22"/>
          <w:szCs w:val="22"/>
        </w:rPr>
      </w:pPr>
      <w:r w:rsidRPr="005C1446">
        <w:rPr>
          <w:rFonts w:ascii="Segoe UI" w:hAnsi="Segoe UI" w:cs="Segoe UI"/>
          <w:sz w:val="22"/>
          <w:szCs w:val="22"/>
        </w:rPr>
        <w:t>Dalam perkara ini, Jaksa Penuntut Umum menyusun dakwaan tunggal terhadap terdakwa HV, yaitu perbuatan sebagaimana diatur dan diancam pidana dalam Pasal 82 ayat (1) Peraturan Pemerintah Pengganti Undang-Undang Nomor 1 Tahun 2016 tentang Perubahan Kedua atas Undang-Undang Nomor 23 Tahun 2002 tentang Perlindungan Anak juncto Pasal 76E Undang-Undang Nomor 35 Tahun 2014 tentang Perubahan atas Undang-Undang Nomor 23 Tahun 2002 tentang Perlindungan Anak, sebagaimana disesuaikan dengan Pasal 415 huruf b Undang-Undang Nomor 1 Tahun 2023 tentang Kitab Undang-Undang Hukum Pidana.</w:t>
      </w:r>
    </w:p>
    <w:p w14:paraId="659BE0F4" w14:textId="77777777" w:rsidR="00DA2436" w:rsidRPr="005C1446" w:rsidRDefault="00000000">
      <w:pPr>
        <w:pStyle w:val="IEEEParagraph"/>
        <w:ind w:left="567" w:right="322" w:firstLine="567"/>
        <w:rPr>
          <w:rFonts w:ascii="Segoe UI" w:hAnsi="Segoe UI" w:cs="Segoe UI"/>
          <w:sz w:val="22"/>
          <w:szCs w:val="22"/>
        </w:rPr>
      </w:pPr>
      <w:r w:rsidRPr="005C1446">
        <w:rPr>
          <w:rFonts w:ascii="Segoe UI" w:hAnsi="Segoe UI" w:cs="Segoe UI"/>
          <w:sz w:val="22"/>
          <w:szCs w:val="22"/>
        </w:rPr>
        <w:t xml:space="preserve">Pemilihan bentuk dakwaan tunggal oleh Jaksa Penuntut Umum dalam perkara ini telah tepat, karena berdasarkan hasil penyelidikan dan penyidikan hanya terdapat satu peristiwa tindak pidana yang didakwakan, yaitu perbuatan cabul terhadap anak, sehingga Jaksa Penuntut Umum tidak perlu merumuskan dakwaan secara alternatif maupun subsidair. Uraian dakwaan telah memenuhi syarat formil berupa identitas lengkap terdakwa, serta syarat materiil berupa uraian cermat mengenai tempus delicti (hari, tanggal, dan waktu kejadian), locus delicti (tempat kejadian di wilayah hukum Kota Sorong), serta pasal-pasal yang dilanggar. Dengan demikian, dakwaan </w:t>
      </w:r>
      <w:r w:rsidRPr="005C1446">
        <w:rPr>
          <w:rFonts w:ascii="Segoe UI" w:hAnsi="Segoe UI" w:cs="Segoe UI"/>
          <w:sz w:val="22"/>
          <w:szCs w:val="22"/>
        </w:rPr>
        <w:lastRenderedPageBreak/>
        <w:t>Jaksa Penuntut Umum dalam perkara ini sudah disusun secara baik dan benar sesuai ketentuan Pasal 143 ayat (2) Kitab Undang-Undang Hukum Acara Pidana serta kaidah yang ditetapkan dalam yurisprudensi Mahkamah Agung mengenai rumusan yuridis, rumusan perbuatan material, dan pencantuman pasal yang didakwakan.</w:t>
      </w:r>
    </w:p>
    <w:p w14:paraId="2811D0A0" w14:textId="77777777" w:rsidR="00DA2436" w:rsidRPr="005C1446" w:rsidRDefault="00000000">
      <w:pPr>
        <w:pStyle w:val="Heading4"/>
        <w:ind w:left="567" w:right="322" w:firstLine="567"/>
        <w:rPr>
          <w:rStyle w:val="mediumtext"/>
          <w:rFonts w:ascii="Segoe UI" w:hAnsi="Segoe UI" w:cs="Segoe UI"/>
          <w:color w:val="auto"/>
        </w:rPr>
      </w:pPr>
      <w:r w:rsidRPr="005C1446">
        <w:rPr>
          <w:rStyle w:val="mediumtext"/>
          <w:rFonts w:ascii="Segoe UI" w:hAnsi="Segoe UI" w:cs="Segoe UI"/>
          <w:b/>
          <w:color w:val="auto"/>
        </w:rPr>
        <w:t>3.2 Analisis Pertimbangan Hukum Hakim</w:t>
      </w:r>
    </w:p>
    <w:p w14:paraId="4E7D57C0" w14:textId="77777777" w:rsidR="00DA2436" w:rsidRPr="005C1446" w:rsidRDefault="00000000">
      <w:pPr>
        <w:pStyle w:val="IEEEParagraph"/>
        <w:ind w:left="567" w:right="322" w:firstLine="567"/>
        <w:rPr>
          <w:rFonts w:ascii="Segoe UI" w:hAnsi="Segoe UI" w:cs="Segoe UI"/>
          <w:sz w:val="22"/>
          <w:szCs w:val="22"/>
        </w:rPr>
      </w:pPr>
      <w:r w:rsidRPr="005C1446">
        <w:rPr>
          <w:rFonts w:ascii="Segoe UI" w:hAnsi="Segoe UI" w:cs="Segoe UI"/>
          <w:sz w:val="22"/>
          <w:szCs w:val="22"/>
        </w:rPr>
        <w:t>Pertimbangan hukum atau ratio decidendi adalah alasan-alasan hukum yang digunakan Hakim dalam memutus suatu perkara, yang harus disusun secara sistematis, logis, dan saling berhubungan (samenhang) berdasarkan pendapat ahli (doktrin), alat bukti, dan yurisprudensi (Mulyadi, 2017). Pertimbangan hukum yang baik harus mencerminkan tiga aspek penting secara simultan, yaitu aspek yuridis normatif yang berkaitan dengan kepastian hukum, aspek filosofis yang berintikan kebenaran dan keadilan, serta aspek sosiologis yang mempertimbangkan nilai-nilai dan rasa keadilan yang hidup di tengah masyarakat, sebagaimana diamanatkan Pasal 5 ayat (1) Undang-Undang Nomor 48 Tahun 2009 tentang Kekuasaan Kehakiman.</w:t>
      </w:r>
    </w:p>
    <w:p w14:paraId="399C417C" w14:textId="77777777" w:rsidR="00DA2436" w:rsidRPr="005C1446" w:rsidRDefault="00000000">
      <w:pPr>
        <w:pStyle w:val="IEEEParagraph"/>
        <w:ind w:left="567" w:right="322" w:firstLine="567"/>
        <w:rPr>
          <w:rFonts w:ascii="Segoe UI" w:hAnsi="Segoe UI" w:cs="Segoe UI"/>
          <w:sz w:val="22"/>
          <w:szCs w:val="22"/>
        </w:rPr>
      </w:pPr>
      <w:r w:rsidRPr="005C1446">
        <w:rPr>
          <w:rFonts w:ascii="Segoe UI" w:hAnsi="Segoe UI" w:cs="Segoe UI"/>
          <w:sz w:val="22"/>
          <w:szCs w:val="22"/>
        </w:rPr>
        <w:t>Dalam perkara ini, Majelis Hakim mempertimbangkan unsur-unsur Pasal 82 ayat (1) juncto Pasal 76E Undang-Undang Perlindungan Anak, yang terdiri atas unsur "setiap orang" dan unsur "melakukan perbuatan cabul dengan seseorang yang diketahui atau patut diduga anak". Unsur "setiap orang" dinyatakan terpenuhi karena identitas terdakwa HV sebagai orang perseorangan telah sesuai dengan surat dakwaan dan terhadapnya berlaku ketentuan hukum pidana Indonesia. Unsur "melakukan perbuatan cabul dengan seseorang yang diketahui atau patut diduga anak" bersifat alternatif sebagaimana ditunjukkan kata "atau" dalam rumusannya, dengan definisi "anak" merujuk Pasal 1 ayat (1) Undang-Undang Perlindungan Anak dan definisi "perbuatan cabul" merujuk penjelasan Pasal 415 Undang-Undang Nomor 1 Tahun 2023 tentang Kitab Undang-Undang Hukum Pidana, yaitu kontak seksual yang berkaitan dengan nafsu birahi selain perkosaan. Berdasarkan keterangan saksi, keterangan terdakwa, serta alat bukti yang diajukan di persidangan, termasuk hasil visum et repertum yang menunjukkan adanya kelainan fisik pada anak korban yang berusia empat tahun, Majelis Hakim menyatakan kedua unsur tersebut terpenuhi secara sah dan meyakinkan.</w:t>
      </w:r>
    </w:p>
    <w:p w14:paraId="3A88F8A1" w14:textId="77777777" w:rsidR="00DA2436" w:rsidRPr="005C1446" w:rsidRDefault="00000000">
      <w:pPr>
        <w:pStyle w:val="IEEEParagraph"/>
        <w:ind w:left="567" w:right="322" w:firstLine="567"/>
        <w:rPr>
          <w:rFonts w:ascii="Segoe UI" w:hAnsi="Segoe UI" w:cs="Segoe UI"/>
          <w:sz w:val="22"/>
          <w:szCs w:val="22"/>
        </w:rPr>
      </w:pPr>
      <w:r w:rsidRPr="005C1446">
        <w:rPr>
          <w:rFonts w:ascii="Segoe UI" w:hAnsi="Segoe UI" w:cs="Segoe UI"/>
          <w:sz w:val="22"/>
          <w:szCs w:val="22"/>
        </w:rPr>
        <w:t>Pertimbangan hukum Hakim yang mengarahkan penilaian langsung pada dakwaan tunggal Jaksa Penuntut Umum, tanpa mempertimbangkan dakwaan alternatif atau subsidair, sudah tepat karena sejak awal hanya terdapat satu delik yang didakwakan dan seluruh unsur delik tersebut terbukti berdasarkan fakta persidangan. Dalam menjatuhkan pidana, Hakim mempertimbangkan keadaan yang memberatkan, yaitu perbuatan terdakwa mengganggu ketertiban masyarakat, menimbulkan trauma psikologis bagi anak korban yang masih berusia empat tahun, serta kedudukan terdakwa sebagai orang yang berada dalam lingkungan dekat anak korban sehingga merusak relasi kepercayaan yang seharusnya melindungi anak. Pertimbangan ini menunjukkan bahwa Hakim tidak semata-mata bersandar pada aspek yuridis normatif berupa terpenuhinya unsur delik (actus reus dan mens rea), tetapi juga memperhitungkan aspek non-yuridis berupa dampak psikologis dan trauma korban sebagai bagian dari aspek filosofis dan sosiologis dalam pertimbangan hukumnya. Keseimbangan antara kedua dimensi tersebut mencerminkan upaya Hakim mewujudkan putusan yang mengandung kepastian hukum, keadilan, dan kemanfaatan sekaligus, sejalan dengan tugas kekuasaan kehakiman yang merdeka sebagaimana diamanatkan Pasal 24 Undang-Undang Dasar 1945.</w:t>
      </w:r>
    </w:p>
    <w:p w14:paraId="33B71660" w14:textId="77777777" w:rsidR="00DA2436" w:rsidRPr="005C1446" w:rsidRDefault="00000000">
      <w:pPr>
        <w:pStyle w:val="IEEEParagraph"/>
        <w:ind w:left="567" w:right="322" w:firstLine="567"/>
        <w:rPr>
          <w:rFonts w:ascii="Segoe UI" w:hAnsi="Segoe UI" w:cs="Segoe UI"/>
          <w:sz w:val="22"/>
          <w:szCs w:val="22"/>
        </w:rPr>
      </w:pPr>
      <w:r w:rsidRPr="005C1446">
        <w:rPr>
          <w:rFonts w:ascii="Segoe UI" w:hAnsi="Segoe UI" w:cs="Segoe UI"/>
          <w:sz w:val="22"/>
          <w:szCs w:val="22"/>
        </w:rPr>
        <w:t xml:space="preserve">Pidana penjara delapan tahun yang dijatuhkan Hakim kepada terdakwa HV mencerminkan orientasi pemidanaan yang memberikan efek jera sekaligus perlindungan hukum bagi anak korban, sejalan dengan semangat Undang-Undang Perlindungan Anak yang menempatkan </w:t>
      </w:r>
      <w:r w:rsidRPr="005C1446">
        <w:rPr>
          <w:rFonts w:ascii="Segoe UI" w:hAnsi="Segoe UI" w:cs="Segoe UI"/>
          <w:sz w:val="22"/>
          <w:szCs w:val="22"/>
        </w:rPr>
        <w:lastRenderedPageBreak/>
        <w:t>kepentingan terbaik anak sebagai prinsip utama. Meskipun demikian, putusan tersebut turut menyisakan catatan mengenai perlunya pemenuhan hak pemulihan psikologis korban secara lebih eksplisit dalam amar putusan, mengingat trauma anak korban yang telah menjadi salah satu pertimbangan pemberatan pidana.</w:t>
      </w:r>
    </w:p>
    <w:p w14:paraId="11E22B35" w14:textId="77777777" w:rsidR="00DA2436" w:rsidRPr="005C1446" w:rsidRDefault="00000000">
      <w:pPr>
        <w:pStyle w:val="Heading4"/>
        <w:ind w:left="567" w:right="322" w:firstLine="567"/>
        <w:rPr>
          <w:rStyle w:val="mediumtext"/>
          <w:rFonts w:ascii="Segoe UI" w:hAnsi="Segoe UI" w:cs="Segoe UI"/>
          <w:color w:val="auto"/>
        </w:rPr>
      </w:pPr>
      <w:r w:rsidRPr="005C1446">
        <w:rPr>
          <w:rStyle w:val="mediumtext"/>
          <w:rFonts w:ascii="Segoe UI" w:hAnsi="Segoe UI" w:cs="Segoe UI"/>
          <w:b/>
          <w:color w:val="auto"/>
        </w:rPr>
        <w:t>3.3 Implikasi Teoretis dan Praktis</w:t>
      </w:r>
    </w:p>
    <w:p w14:paraId="2CA04AED" w14:textId="77777777" w:rsidR="00DA2436" w:rsidRPr="005C1446" w:rsidRDefault="00000000">
      <w:pPr>
        <w:pStyle w:val="IEEEParagraph"/>
        <w:ind w:left="567" w:right="322" w:firstLine="567"/>
        <w:rPr>
          <w:rFonts w:ascii="Segoe UI" w:hAnsi="Segoe UI" w:cs="Segoe UI"/>
          <w:sz w:val="22"/>
          <w:szCs w:val="22"/>
        </w:rPr>
      </w:pPr>
      <w:r w:rsidRPr="005C1446">
        <w:rPr>
          <w:rFonts w:ascii="Segoe UI" w:hAnsi="Segoe UI" w:cs="Segoe UI"/>
          <w:sz w:val="22"/>
          <w:szCs w:val="22"/>
        </w:rPr>
        <w:t>Secara teoretis, penelitian ini memperkaya kajian hukum acara pidana dan viktimologi dengan menunjukkan bahwa pertimbangan hukum Hakim dalam perkara tindak pidana kesusilaan terhadap anak idealnya mengintegrasikan aspek yuridis normatif, filosofis, dan sosiologis secara seimbang, tidak semata bertumpu pada terpenuhinya unsur delik secara formal. Secara praktis, penelitian ini merekomendasikan agar Jaksa Penuntut Umum dan Hakim di lingkungan peradilan terus mempertahankan kecermatan dalam penyusunan dakwaan dan pertimbangan hukum, serta agar aparat penegak hukum memperkuat mekanisme pemulihan psikologis bagi anak korban tindak pidana kesusilaan sebagai bagian tidak terpisahkan dari proses penegakan hukum.</w:t>
      </w:r>
    </w:p>
    <w:p w14:paraId="1C672231" w14:textId="77777777" w:rsidR="001E0508" w:rsidRPr="005C1446" w:rsidRDefault="00985560" w:rsidP="00985560">
      <w:pPr>
        <w:pStyle w:val="Heading3"/>
        <w:ind w:left="993" w:hanging="426"/>
      </w:pPr>
      <w:r w:rsidRPr="005C1446">
        <w:t>KESIMPULAN</w:t>
      </w:r>
    </w:p>
    <w:p w14:paraId="3B977F34" w14:textId="77777777" w:rsidR="00DA2436" w:rsidRPr="005C1446" w:rsidRDefault="00000000">
      <w:pPr>
        <w:pStyle w:val="IEEEParagraph"/>
        <w:ind w:left="567" w:right="322" w:firstLine="567"/>
        <w:rPr>
          <w:rFonts w:ascii="Segoe UI" w:hAnsi="Segoe UI" w:cs="Segoe UI"/>
          <w:sz w:val="22"/>
          <w:szCs w:val="22"/>
        </w:rPr>
      </w:pPr>
      <w:r w:rsidRPr="005C1446">
        <w:rPr>
          <w:rFonts w:ascii="Segoe UI" w:hAnsi="Segoe UI" w:cs="Segoe UI"/>
          <w:sz w:val="22"/>
          <w:szCs w:val="22"/>
        </w:rPr>
        <w:t>Berdasarkan hasil dan pembahasan, dapat disimpulkan bahwa dakwaan Jaksa Penuntut Umum dalam tindak pidana perbuatan cabul terhadap anak berdasarkan Putusan Pengadilan Negeri Sorong Nomor 284/Pid.Sus/2025/PN Sor telah disusun secara baik dan benar sesuai ketentuan perundang-undangan. Dakwaan tunggal yang diajukan telah memenuhi syarat formil berupa identitas lengkap terdakwa, serta syarat materiil berupa uraian cermat mengenai fakta tindak pidana yang didakwakan, tempus delicti, locus delicti, dan pasal-pasal peraturan perundang-undangan yang dilanggar, sehingga sejalan dengan ketentuan Pasal 143 ayat (2) Kitab Undang-Undang Hukum Acara Pidana.</w:t>
      </w:r>
    </w:p>
    <w:p w14:paraId="3DF7B9B8" w14:textId="77777777" w:rsidR="00DA2436" w:rsidRPr="005C1446" w:rsidRDefault="00000000">
      <w:pPr>
        <w:pStyle w:val="IEEEParagraph"/>
        <w:ind w:left="567" w:right="322" w:firstLine="567"/>
        <w:rPr>
          <w:rFonts w:ascii="Segoe UI" w:hAnsi="Segoe UI" w:cs="Segoe UI"/>
          <w:sz w:val="22"/>
          <w:szCs w:val="22"/>
          <w:lang w:val="sv-SE"/>
        </w:rPr>
      </w:pPr>
      <w:r w:rsidRPr="005C1446">
        <w:rPr>
          <w:rFonts w:ascii="Segoe UI" w:hAnsi="Segoe UI" w:cs="Segoe UI"/>
          <w:sz w:val="22"/>
          <w:szCs w:val="22"/>
          <w:lang w:val="sv-SE"/>
        </w:rPr>
        <w:t>Pertimbangan hukum Hakim dalam perkara ini juga telah dilakukan sesuai ketentuan perundang-undangan yang bermuara pada perlindungan hukum dan pemenuhan hak-hak anak. Hakim telah merumuskan putusan berdasarkan keseimbangan antara unsur pembuktian yuridis, yaitu terpenuhinya mens rea dan actus reus sebagaimana dirumuskan dalam Pasal 82 ayat (1) juncto Pasal 76E Undang-Undang Perlindungan Anak, dengan unsur non-yuridis berupa dampak psikologis dan trauma yang dialami anak korban, sehingga mencerminkan integrasi aspek yuridis normatif, filosofis, dan sosiologis dalam pertimbangan hukum yang berkualitas.</w:t>
      </w:r>
    </w:p>
    <w:p w14:paraId="639C9ACA" w14:textId="77777777" w:rsidR="00DA2436" w:rsidRPr="005C1446" w:rsidRDefault="00000000">
      <w:pPr>
        <w:pStyle w:val="IEEEParagraph"/>
        <w:ind w:left="567" w:right="322" w:firstLine="567"/>
        <w:rPr>
          <w:rFonts w:ascii="Segoe UI" w:hAnsi="Segoe UI" w:cs="Segoe UI"/>
          <w:sz w:val="22"/>
          <w:szCs w:val="22"/>
          <w:lang w:val="sv-SE"/>
        </w:rPr>
      </w:pPr>
      <w:r w:rsidRPr="005C1446">
        <w:rPr>
          <w:rFonts w:ascii="Segoe UI" w:hAnsi="Segoe UI" w:cs="Segoe UI"/>
          <w:sz w:val="22"/>
          <w:szCs w:val="22"/>
          <w:lang w:val="sv-SE"/>
        </w:rPr>
        <w:t>Sejalan dengan simpulan tersebut, disarankan agar penegak hukum, khususnya Hakim, dalam menjatuhkan putusan atas tindak pidana perbuatan cabul terhadap anak senantiasa memberikan sanksi pidana yang memberikan efek jera bagi pelaku sekaligus berfungsi preventif bagi masyarakat. Selain itu, diperlukan pendekatan pencegahan yang menyeluruh, mencakup edukasi preventif, pembekalan perlindungan diri bagi anak, intervensi lingkungan sosial, penegakan hukum yang tegas, serta penguatan mekanisme pemulihan psikologis bagi anak korban sebagai bagian tidak terpisahkan dari sistem peradilan pidana yang berorientasi pada perlindungan anak.</w:t>
      </w:r>
    </w:p>
    <w:p w14:paraId="09EB1426" w14:textId="77777777" w:rsidR="001E0508" w:rsidRPr="005C1446" w:rsidRDefault="001E0508" w:rsidP="001E0508">
      <w:pPr>
        <w:pStyle w:val="IEEEHeading1"/>
        <w:numPr>
          <w:ilvl w:val="0"/>
          <w:numId w:val="0"/>
        </w:numPr>
        <w:ind w:firstLine="567"/>
        <w:jc w:val="both"/>
        <w:rPr>
          <w:rFonts w:ascii="Segoe UI" w:hAnsi="Segoe UI" w:cs="Segoe UI"/>
          <w:b/>
          <w:bCs/>
          <w:sz w:val="24"/>
          <w:lang w:val="sv-SE"/>
        </w:rPr>
      </w:pPr>
      <w:r w:rsidRPr="005C1446">
        <w:rPr>
          <w:rFonts w:ascii="Segoe UI" w:hAnsi="Segoe UI" w:cs="Segoe UI"/>
          <w:b/>
          <w:bCs/>
          <w:sz w:val="24"/>
          <w:lang w:val="sv-SE"/>
        </w:rPr>
        <w:t>Referensi</w:t>
      </w:r>
    </w:p>
    <w:p w14:paraId="1A70A456" w14:textId="77777777" w:rsidR="00DA2436" w:rsidRPr="005C1446" w:rsidRDefault="00000000">
      <w:pPr>
        <w:spacing w:after="120" w:line="240" w:lineRule="auto"/>
        <w:ind w:left="567" w:right="322" w:hanging="567"/>
        <w:rPr>
          <w:rFonts w:cs="Segoe UI"/>
          <w:sz w:val="20"/>
          <w:szCs w:val="20"/>
        </w:rPr>
      </w:pPr>
      <w:r w:rsidRPr="005C1446">
        <w:rPr>
          <w:rFonts w:cs="Segoe UI"/>
          <w:sz w:val="20"/>
          <w:szCs w:val="20"/>
        </w:rPr>
        <w:t>Kitab Undang-Undang Hukum Acara Pidana (KUHAP).</w:t>
      </w:r>
    </w:p>
    <w:p w14:paraId="6E5D495C" w14:textId="77777777" w:rsidR="00DA2436" w:rsidRPr="005C1446" w:rsidRDefault="00000000">
      <w:pPr>
        <w:spacing w:after="120" w:line="240" w:lineRule="auto"/>
        <w:ind w:left="567" w:right="322" w:hanging="567"/>
        <w:rPr>
          <w:rFonts w:cs="Segoe UI"/>
          <w:sz w:val="20"/>
          <w:szCs w:val="20"/>
        </w:rPr>
      </w:pPr>
      <w:r w:rsidRPr="005C1446">
        <w:rPr>
          <w:rFonts w:cs="Segoe UI"/>
          <w:sz w:val="20"/>
          <w:szCs w:val="20"/>
        </w:rPr>
        <w:t>Mulyadi, L. (2017). Putusan hakim dalam hukum acara pidana: Teori, praktik, teknik penyusunan, dan permasalahannya. Citra Aditya Bakti.</w:t>
      </w:r>
    </w:p>
    <w:p w14:paraId="0BD451A0" w14:textId="77777777" w:rsidR="00DA2436" w:rsidRPr="005C1446" w:rsidRDefault="00000000">
      <w:pPr>
        <w:spacing w:after="120" w:line="240" w:lineRule="auto"/>
        <w:ind w:left="567" w:right="322" w:hanging="567"/>
        <w:rPr>
          <w:rFonts w:cs="Segoe UI"/>
          <w:sz w:val="20"/>
          <w:szCs w:val="20"/>
        </w:rPr>
      </w:pPr>
      <w:r w:rsidRPr="005C1446">
        <w:rPr>
          <w:rFonts w:cs="Segoe UI"/>
          <w:sz w:val="20"/>
          <w:szCs w:val="20"/>
        </w:rPr>
        <w:t>Pengadilan Negeri Sorong. (2025). Putusan Nomor 284/Pid.Sus/2025/PN Sor.</w:t>
      </w:r>
    </w:p>
    <w:p w14:paraId="6B4C1CB2" w14:textId="77777777" w:rsidR="00DA2436" w:rsidRPr="005C1446" w:rsidRDefault="00000000">
      <w:pPr>
        <w:spacing w:after="120" w:line="240" w:lineRule="auto"/>
        <w:ind w:left="567" w:right="322" w:hanging="567"/>
        <w:rPr>
          <w:rFonts w:cs="Segoe UI"/>
          <w:sz w:val="20"/>
          <w:szCs w:val="20"/>
        </w:rPr>
      </w:pPr>
      <w:r w:rsidRPr="005C1446">
        <w:rPr>
          <w:rFonts w:cs="Segoe UI"/>
          <w:sz w:val="20"/>
          <w:szCs w:val="20"/>
        </w:rPr>
        <w:lastRenderedPageBreak/>
        <w:t>Republik Indonesia. (1945). Undang-Undang Dasar Negara Republik Indonesia Tahun 1945.</w:t>
      </w:r>
    </w:p>
    <w:p w14:paraId="61F5D3FF" w14:textId="77777777" w:rsidR="00DA2436" w:rsidRPr="005C1446" w:rsidRDefault="00000000">
      <w:pPr>
        <w:spacing w:after="120" w:line="240" w:lineRule="auto"/>
        <w:ind w:left="567" w:right="322" w:hanging="567"/>
        <w:rPr>
          <w:rFonts w:cs="Segoe UI"/>
          <w:sz w:val="20"/>
          <w:szCs w:val="20"/>
        </w:rPr>
      </w:pPr>
      <w:r w:rsidRPr="005C1446">
        <w:rPr>
          <w:rFonts w:cs="Segoe UI"/>
          <w:sz w:val="20"/>
          <w:szCs w:val="20"/>
        </w:rPr>
        <w:t>Republik Indonesia. (2009). Undang-Undang Nomor 48 Tahun 2009 tentang Kekuasaan Kehakiman.</w:t>
      </w:r>
    </w:p>
    <w:p w14:paraId="2ED2B6E1" w14:textId="77777777" w:rsidR="00DA2436" w:rsidRPr="005C1446" w:rsidRDefault="00000000">
      <w:pPr>
        <w:spacing w:after="120" w:line="240" w:lineRule="auto"/>
        <w:ind w:left="567" w:right="322" w:hanging="567"/>
        <w:rPr>
          <w:rFonts w:cs="Segoe UI"/>
          <w:sz w:val="20"/>
          <w:szCs w:val="20"/>
        </w:rPr>
      </w:pPr>
      <w:r w:rsidRPr="005C1446">
        <w:rPr>
          <w:rFonts w:cs="Segoe UI"/>
          <w:sz w:val="20"/>
          <w:szCs w:val="20"/>
        </w:rPr>
        <w:t>Republik Indonesia. (2014). Undang-Undang Nomor 35 Tahun 2014 tentang Perubahan atas Undang-Undang Nomor 23 Tahun 2002 tentang Perlindungan Anak.</w:t>
      </w:r>
    </w:p>
    <w:p w14:paraId="64BE9606" w14:textId="77777777" w:rsidR="00DA2436" w:rsidRPr="005C1446" w:rsidRDefault="00000000">
      <w:pPr>
        <w:spacing w:after="120" w:line="240" w:lineRule="auto"/>
        <w:ind w:left="567" w:right="322" w:hanging="567"/>
        <w:rPr>
          <w:rFonts w:cs="Segoe UI"/>
          <w:sz w:val="20"/>
          <w:szCs w:val="20"/>
        </w:rPr>
      </w:pPr>
      <w:r w:rsidRPr="005C1446">
        <w:rPr>
          <w:rFonts w:cs="Segoe UI"/>
          <w:sz w:val="20"/>
          <w:szCs w:val="20"/>
        </w:rPr>
        <w:t>Republik Indonesia. (2016). Peraturan Pemerintah Pengganti Undang-Undang Nomor 1 Tahun 2016 tentang Perubahan Kedua atas Undang-Undang Nomor 23 Tahun 2002 tentang Perlindungan Anak.</w:t>
      </w:r>
    </w:p>
    <w:p w14:paraId="7E8E5E89" w14:textId="77777777" w:rsidR="00DA2436" w:rsidRPr="005C1446" w:rsidRDefault="00000000">
      <w:pPr>
        <w:spacing w:after="120" w:line="240" w:lineRule="auto"/>
        <w:ind w:left="567" w:right="322" w:hanging="567"/>
        <w:rPr>
          <w:rFonts w:cs="Segoe UI"/>
          <w:sz w:val="20"/>
          <w:szCs w:val="20"/>
        </w:rPr>
      </w:pPr>
      <w:r w:rsidRPr="005C1446">
        <w:rPr>
          <w:rFonts w:cs="Segoe UI"/>
          <w:sz w:val="20"/>
          <w:szCs w:val="20"/>
        </w:rPr>
        <w:t>Republik Indonesia. (2023). Undang-Undang Nomor 1 Tahun 2023 tentang Kitab Undang-Undang Hukum Pidana.</w:t>
      </w:r>
    </w:p>
    <w:p w14:paraId="36CD9F5D" w14:textId="77777777" w:rsidR="00DA2436" w:rsidRPr="005C1446" w:rsidRDefault="00000000">
      <w:pPr>
        <w:spacing w:after="120" w:line="240" w:lineRule="auto"/>
        <w:ind w:left="567" w:right="322" w:hanging="567"/>
        <w:rPr>
          <w:rFonts w:cs="Segoe UI"/>
          <w:sz w:val="20"/>
          <w:szCs w:val="20"/>
        </w:rPr>
      </w:pPr>
      <w:r w:rsidRPr="005C1446">
        <w:rPr>
          <w:rFonts w:cs="Segoe UI"/>
          <w:sz w:val="20"/>
          <w:szCs w:val="20"/>
        </w:rPr>
        <w:t>Wiguno, A. P. (2013). Viktimologi terhadap anak sebagai korban tindak pidana kesusilaan. Jurnal Ilmu Hukum Legal Opinion, 1(1), 1-10.</w:t>
      </w:r>
    </w:p>
    <w:sectPr w:rsidR="00DA2436" w:rsidRPr="005C1446"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5F7A3" w14:textId="77777777" w:rsidR="00B954E8" w:rsidRDefault="00B954E8" w:rsidP="009B0AF6">
      <w:pPr>
        <w:spacing w:after="0" w:line="240" w:lineRule="auto"/>
      </w:pPr>
      <w:r>
        <w:separator/>
      </w:r>
    </w:p>
  </w:endnote>
  <w:endnote w:type="continuationSeparator" w:id="0">
    <w:p w14:paraId="4DCDB990" w14:textId="77777777" w:rsidR="00B954E8" w:rsidRDefault="00B954E8"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5260DC31" w14:textId="77777777"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Eka Tri Lestari Abusama*</w:t>
        </w:r>
      </w:p>
      <w:p w14:paraId="68EC26EE"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sidRPr="005C1446">
          <w:rPr>
            <w:rFonts w:cs="Segoe UI"/>
            <w:noProof/>
            <w:sz w:val="20"/>
            <w:szCs w:val="20"/>
            <w:lang w:val="sv-SE"/>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97DF3" w14:textId="77777777" w:rsidR="00B954E8" w:rsidRDefault="00B954E8" w:rsidP="009B0AF6">
      <w:pPr>
        <w:spacing w:after="0" w:line="240" w:lineRule="auto"/>
      </w:pPr>
      <w:r>
        <w:separator/>
      </w:r>
    </w:p>
  </w:footnote>
  <w:footnote w:type="continuationSeparator" w:id="0">
    <w:p w14:paraId="619E7104" w14:textId="77777777" w:rsidR="00B954E8" w:rsidRDefault="00B954E8"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EC2C"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13115"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1446"/>
    <w:rsid w:val="005C6A72"/>
    <w:rsid w:val="005D710E"/>
    <w:rsid w:val="005E1485"/>
    <w:rsid w:val="00613274"/>
    <w:rsid w:val="006269EE"/>
    <w:rsid w:val="00633241"/>
    <w:rsid w:val="006658E1"/>
    <w:rsid w:val="00676A1B"/>
    <w:rsid w:val="006E152C"/>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954E8"/>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A2436"/>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8406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a@ukipaulus.a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3127</Words>
  <Characters>17825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5</cp:revision>
  <cp:lastPrinted>2023-04-17T18:59:00Z</cp:lastPrinted>
  <dcterms:created xsi:type="dcterms:W3CDTF">2026-01-24T05:16:00Z</dcterms:created>
  <dcterms:modified xsi:type="dcterms:W3CDTF">2026-08-09T23:38:00Z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