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5C8AD" w14:textId="77777777" w:rsidR="00AD7C4B" w:rsidRPr="00D01C6B" w:rsidRDefault="00E109A4" w:rsidP="007677D4">
      <w:pPr>
        <w:spacing w:after="0" w:line="240" w:lineRule="auto"/>
        <w:jc w:val="left"/>
        <w:rPr>
          <w:rFonts w:cs="Segoe UI"/>
          <w:i/>
          <w:iCs/>
          <w:sz w:val="20"/>
          <w:szCs w:val="20"/>
          <w:u w:val="single"/>
          <w:lang w:val="en-US"/>
        </w:rPr>
      </w:pPr>
      <w:r w:rsidRPr="00D01C6B">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Pr="00D01C6B">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D01C6B">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sidRPr="00D01C6B">
        <w:rPr>
          <w:rFonts w:cs="Segoe UI"/>
          <w:i/>
          <w:noProof/>
          <w:sz w:val="16"/>
          <w:szCs w:val="16"/>
          <w:lang w:val="en-IN" w:eastAsia="en-IN"/>
        </w:rPr>
        <w:t xml:space="preserve">                                       </w:t>
      </w:r>
      <w:hyperlink r:id="rId10" w:history="1">
        <w:r w:rsidRPr="00D01C6B">
          <w:rPr>
            <w:rStyle w:val="Hyperlink"/>
            <w:rFonts w:cs="Segoe UI"/>
            <w:i/>
            <w:noProof/>
            <w:color w:val="auto"/>
            <w:sz w:val="16"/>
            <w:szCs w:val="16"/>
            <w:lang w:val="en-IN" w:eastAsia="en-IN"/>
          </w:rPr>
          <w:t>https://ojs.ukipaulus.ac.id/index.php/psnp</w:t>
        </w:r>
      </w:hyperlink>
      <w:r w:rsidRPr="00D01C6B">
        <w:rPr>
          <w:rFonts w:cs="Segoe UI"/>
          <w:i/>
          <w:noProof/>
          <w:sz w:val="16"/>
          <w:szCs w:val="16"/>
          <w:lang w:val="en-IN" w:eastAsia="en-IN"/>
        </w:rPr>
        <w:t xml:space="preserve"> </w:t>
      </w:r>
      <w:r w:rsidRPr="00D01C6B">
        <w:t xml:space="preserve">  </w:t>
      </w:r>
    </w:p>
    <w:p w14:paraId="7FD09B1E" w14:textId="77777777" w:rsidR="00CB3BDB" w:rsidRPr="00D01C6B" w:rsidRDefault="006F20C0" w:rsidP="00E109A4">
      <w:pPr>
        <w:tabs>
          <w:tab w:val="left" w:pos="612"/>
          <w:tab w:val="center" w:pos="4513"/>
        </w:tabs>
        <w:spacing w:after="0" w:line="240" w:lineRule="auto"/>
        <w:jc w:val="center"/>
        <w:rPr>
          <w:rFonts w:cs="Segoe UI"/>
          <w:b/>
          <w:sz w:val="36"/>
          <w:szCs w:val="28"/>
        </w:rPr>
      </w:pPr>
      <w:r w:rsidRPr="00D01C6B">
        <w:rPr>
          <w:rFonts w:cs="Segoe UI"/>
          <w:b/>
          <w:sz w:val="36"/>
          <w:szCs w:val="28"/>
        </w:rPr>
        <w:t xml:space="preserve">Seminar Nasional </w:t>
      </w:r>
    </w:p>
    <w:p w14:paraId="00DBC676" w14:textId="77777777" w:rsidR="006F20C0" w:rsidRPr="00D01C6B" w:rsidRDefault="006F20C0" w:rsidP="00E109A4">
      <w:pPr>
        <w:tabs>
          <w:tab w:val="left" w:pos="612"/>
          <w:tab w:val="center" w:pos="4513"/>
        </w:tabs>
        <w:spacing w:after="0" w:line="240" w:lineRule="auto"/>
        <w:jc w:val="center"/>
        <w:rPr>
          <w:rFonts w:cs="Segoe UI"/>
          <w:b/>
          <w:sz w:val="36"/>
          <w:szCs w:val="28"/>
        </w:rPr>
      </w:pPr>
      <w:r w:rsidRPr="00D01C6B">
        <w:rPr>
          <w:rFonts w:cs="Segoe UI"/>
          <w:b/>
          <w:sz w:val="36"/>
          <w:szCs w:val="28"/>
        </w:rPr>
        <w:t>Humanesia Pascasarjana</w:t>
      </w:r>
    </w:p>
    <w:p w14:paraId="0A595A63" w14:textId="77777777" w:rsidR="00AD7C4B" w:rsidRPr="00D01C6B" w:rsidRDefault="003A4408" w:rsidP="003A4408">
      <w:pPr>
        <w:spacing w:after="0" w:line="240" w:lineRule="auto"/>
        <w:jc w:val="center"/>
        <w:rPr>
          <w:rFonts w:cs="Segoe UI"/>
          <w:b/>
          <w:sz w:val="16"/>
          <w:szCs w:val="16"/>
        </w:rPr>
      </w:pPr>
      <w:r w:rsidRPr="00D01C6B">
        <w:rPr>
          <w:rFonts w:cs="Segoe UI"/>
          <w:b/>
          <w:sz w:val="16"/>
          <w:szCs w:val="16"/>
        </w:rPr>
        <w:t>(Humaniora, Ekonomi, Bisnis, Manajemen, Hukum dan Sosiologi)</w:t>
      </w:r>
    </w:p>
    <w:p w14:paraId="20ED4050" w14:textId="77777777" w:rsidR="0010607A" w:rsidRPr="00D01C6B" w:rsidRDefault="00886EB8" w:rsidP="00E109A4">
      <w:pPr>
        <w:spacing w:after="0" w:line="240" w:lineRule="auto"/>
        <w:jc w:val="center"/>
        <w:rPr>
          <w:rFonts w:cs="Segoe UI"/>
          <w:b/>
        </w:rPr>
      </w:pPr>
      <w:r w:rsidRPr="00D01C6B">
        <w:rPr>
          <w:rFonts w:cs="Segoe UI"/>
          <w:b/>
        </w:rPr>
        <w:t>Universitas Kristen Indonesia Paulus</w:t>
      </w:r>
    </w:p>
    <w:p w14:paraId="48C912D1" w14:textId="77777777" w:rsidR="007677D4" w:rsidRPr="00D01C6B" w:rsidRDefault="00E109A4" w:rsidP="00E109A4">
      <w:pPr>
        <w:spacing w:after="0" w:line="240" w:lineRule="auto"/>
        <w:jc w:val="left"/>
        <w:rPr>
          <w:rFonts w:cs="Segoe UI"/>
          <w:b/>
          <w:sz w:val="20"/>
          <w:szCs w:val="20"/>
        </w:rPr>
      </w:pPr>
      <w:r w:rsidRPr="00D01C6B">
        <w:rPr>
          <w:rFonts w:cs="Segoe UI"/>
          <w:b/>
          <w:sz w:val="20"/>
          <w:szCs w:val="20"/>
        </w:rPr>
        <w:t xml:space="preserve">                                                                 Makassar, Indonesia</w:t>
      </w:r>
    </w:p>
    <w:p w14:paraId="64E3C4A3" w14:textId="77777777" w:rsidR="001E0508" w:rsidRPr="00D01C6B" w:rsidRDefault="00E109A4" w:rsidP="007677D4">
      <w:pPr>
        <w:spacing w:after="0" w:line="240" w:lineRule="auto"/>
        <w:jc w:val="left"/>
        <w:rPr>
          <w:rFonts w:cs="Segoe UI"/>
          <w:b/>
          <w:sz w:val="20"/>
          <w:szCs w:val="20"/>
        </w:rPr>
      </w:pPr>
      <w:r w:rsidRPr="00D01C6B">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0FB882B" w14:textId="77777777" w:rsidR="00AD7C4B" w:rsidRPr="00D01C6B" w:rsidRDefault="00AD7C4B" w:rsidP="00676A1B">
      <w:pPr>
        <w:tabs>
          <w:tab w:val="right" w:pos="9026"/>
        </w:tabs>
        <w:spacing w:after="0" w:line="240" w:lineRule="auto"/>
        <w:rPr>
          <w:rFonts w:cs="Segoe UI"/>
          <w:b/>
          <w:sz w:val="20"/>
          <w:szCs w:val="20"/>
        </w:rPr>
      </w:pPr>
      <w:r w:rsidRPr="00D01C6B">
        <w:rPr>
          <w:rFonts w:cs="Segoe UI"/>
          <w:b/>
          <w:sz w:val="20"/>
          <w:szCs w:val="20"/>
        </w:rPr>
        <w:tab/>
      </w:r>
    </w:p>
    <w:p w14:paraId="1CA3A321" w14:textId="77777777" w:rsidR="00676A1B" w:rsidRPr="00D01C6B" w:rsidRDefault="006F20C0" w:rsidP="00100027">
      <w:pPr>
        <w:tabs>
          <w:tab w:val="right" w:pos="9026"/>
        </w:tabs>
        <w:spacing w:after="0" w:line="240" w:lineRule="auto"/>
        <w:jc w:val="center"/>
        <w:rPr>
          <w:rFonts w:cs="Segoe UI"/>
          <w:b/>
          <w:sz w:val="30"/>
          <w:szCs w:val="30"/>
          <w:lang w:val="en-US"/>
        </w:rPr>
      </w:pPr>
      <w:r w:rsidRPr="00D01C6B">
        <w:rPr>
          <w:rFonts w:cs="Segoe UI"/>
          <w:b/>
          <w:bCs/>
          <w:sz w:val="30"/>
          <w:szCs w:val="30"/>
          <w:lang w:val="id"/>
        </w:rPr>
        <w:t>Keabsahan dan Implikasi Diskresi Kepala Daerah dalam Pelayanan Administrasi Kepegawaian di Kabupaten Mappi</w:t>
      </w:r>
    </w:p>
    <w:p w14:paraId="4CB5E3BB" w14:textId="77777777" w:rsidR="00100027" w:rsidRPr="00D01C6B" w:rsidRDefault="00100027" w:rsidP="007677D4">
      <w:pPr>
        <w:tabs>
          <w:tab w:val="right" w:pos="9026"/>
        </w:tabs>
        <w:spacing w:after="0" w:line="240" w:lineRule="auto"/>
        <w:jc w:val="left"/>
        <w:rPr>
          <w:rFonts w:cs="Segoe UI"/>
          <w:i/>
          <w:sz w:val="24"/>
          <w:szCs w:val="20"/>
          <w:lang w:val="en-US"/>
        </w:rPr>
      </w:pPr>
    </w:p>
    <w:p w14:paraId="78EE665B" w14:textId="77777777" w:rsidR="00361A98" w:rsidRPr="00D01C6B" w:rsidRDefault="00361A98" w:rsidP="00676A1B">
      <w:pPr>
        <w:tabs>
          <w:tab w:val="right" w:pos="9026"/>
        </w:tabs>
        <w:spacing w:after="0" w:line="240" w:lineRule="auto"/>
        <w:rPr>
          <w:rFonts w:cs="Segoe UI"/>
          <w:sz w:val="20"/>
          <w:szCs w:val="20"/>
        </w:rPr>
      </w:pPr>
    </w:p>
    <w:p w14:paraId="6CD9A0B3" w14:textId="77777777" w:rsidR="00AC334E" w:rsidRPr="00D01C6B" w:rsidRDefault="001E0508" w:rsidP="00C00D09">
      <w:pPr>
        <w:tabs>
          <w:tab w:val="right" w:pos="9026"/>
        </w:tabs>
        <w:spacing w:after="0" w:line="240" w:lineRule="auto"/>
        <w:rPr>
          <w:rFonts w:cs="Segoe UI"/>
          <w:b/>
          <w:bCs/>
          <w:sz w:val="24"/>
          <w:szCs w:val="24"/>
          <w:lang w:val="fi-FI"/>
        </w:rPr>
      </w:pPr>
      <w:r w:rsidRPr="00D01C6B">
        <w:rPr>
          <w:rFonts w:cs="Segoe UI"/>
          <w:b/>
          <w:bCs/>
          <w:sz w:val="24"/>
          <w:szCs w:val="24"/>
          <w:lang w:val="fi-FI"/>
        </w:rPr>
        <w:t>Edwardus D. Sakthi1*</w:t>
      </w:r>
    </w:p>
    <w:p w14:paraId="73F6E5BD" w14:textId="77777777" w:rsidR="00AC334E" w:rsidRPr="00D01C6B" w:rsidRDefault="001E0508" w:rsidP="00241D17">
      <w:pPr>
        <w:tabs>
          <w:tab w:val="right" w:pos="9026"/>
        </w:tabs>
        <w:spacing w:after="0" w:line="240" w:lineRule="auto"/>
        <w:rPr>
          <w:rFonts w:cs="Segoe UI"/>
          <w:sz w:val="20"/>
          <w:szCs w:val="20"/>
          <w:lang w:val="fi-FI"/>
        </w:rPr>
      </w:pPr>
      <w:r w:rsidRPr="00D01C6B">
        <w:rPr>
          <w:rFonts w:cs="Segoe UI"/>
          <w:sz w:val="20"/>
          <w:szCs w:val="20"/>
          <w:vertAlign w:val="superscript"/>
          <w:lang w:val="fi-FI"/>
        </w:rPr>
        <w:t>1</w:t>
      </w:r>
      <w:r w:rsidRPr="00D01C6B">
        <w:rPr>
          <w:rFonts w:cs="Segoe UI"/>
          <w:sz w:val="20"/>
          <w:szCs w:val="20"/>
          <w:lang w:val="fi-FI"/>
        </w:rPr>
        <w:t xml:space="preserve"> Program Studi Magister Ilmu Hukum, Program Pascasarjana, Universitas Kristen Indonesia Paulus, Makassar, Indonesia</w:t>
      </w:r>
    </w:p>
    <w:p w14:paraId="61D88775" w14:textId="77777777" w:rsidR="00BE12F5" w:rsidRPr="00D01C6B" w:rsidRDefault="006F20C0" w:rsidP="00241D17">
      <w:pPr>
        <w:tabs>
          <w:tab w:val="right" w:pos="9026"/>
        </w:tabs>
        <w:spacing w:after="0" w:line="240" w:lineRule="auto"/>
        <w:rPr>
          <w:rFonts w:cs="Segoe UI"/>
          <w:i/>
          <w:sz w:val="18"/>
          <w:szCs w:val="18"/>
          <w:lang w:val="en-US"/>
        </w:rPr>
      </w:pPr>
      <w:hyperlink r:id="rId11" w:history="1">
        <w:r w:rsidRPr="00D01C6B">
          <w:rPr>
            <w:rStyle w:val="Hyperlink"/>
            <w:rFonts w:cs="Segoe UI"/>
            <w:i/>
            <w:color w:val="auto"/>
            <w:sz w:val="18"/>
            <w:szCs w:val="18"/>
            <w:lang w:val="fi-FI"/>
          </w:rPr>
          <w:t>edwardus@ukipaulus.ac.id</w:t>
        </w:r>
      </w:hyperlink>
      <w:r w:rsidRPr="00D01C6B">
        <w:rPr>
          <w:rFonts w:cs="Segoe UI"/>
          <w:i/>
          <w:sz w:val="18"/>
          <w:szCs w:val="18"/>
          <w:lang w:val="fi-FI"/>
        </w:rPr>
        <w:t xml:space="preserve"> </w:t>
      </w:r>
      <w:r w:rsidRPr="00D01C6B">
        <w:rPr>
          <w:rFonts w:cs="Segoe UI"/>
          <w:i/>
          <w:sz w:val="18"/>
          <w:szCs w:val="18"/>
          <w:lang w:val="en-US"/>
        </w:rPr>
        <w:t>(Korespondensi)*</w:t>
      </w:r>
    </w:p>
    <w:p w14:paraId="4AD180D3" w14:textId="77777777" w:rsidR="006F20C0" w:rsidRPr="00D01C6B"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D01C6B" w14:paraId="02BA930B" w14:textId="77777777" w:rsidTr="00550BFE">
        <w:trPr>
          <w:trHeight w:val="189"/>
        </w:trPr>
        <w:tc>
          <w:tcPr>
            <w:tcW w:w="1171" w:type="pct"/>
            <w:tcBorders>
              <w:top w:val="single" w:sz="4" w:space="0" w:color="auto"/>
              <w:bottom w:val="single" w:sz="4" w:space="0" w:color="auto"/>
            </w:tcBorders>
          </w:tcPr>
          <w:p w14:paraId="6247F904" w14:textId="77777777" w:rsidR="00241D17" w:rsidRPr="00D01C6B" w:rsidRDefault="00241D17" w:rsidP="00550BFE">
            <w:pPr>
              <w:spacing w:after="0" w:line="240" w:lineRule="auto"/>
              <w:rPr>
                <w:rFonts w:eastAsia="Times New Roman" w:cs="Segoe UI"/>
                <w:b/>
                <w:sz w:val="20"/>
                <w:szCs w:val="20"/>
              </w:rPr>
            </w:pPr>
          </w:p>
        </w:tc>
        <w:tc>
          <w:tcPr>
            <w:tcW w:w="3829" w:type="pct"/>
            <w:tcBorders>
              <w:top w:val="single" w:sz="4" w:space="0" w:color="auto"/>
              <w:bottom w:val="single" w:sz="4" w:space="0" w:color="auto"/>
            </w:tcBorders>
          </w:tcPr>
          <w:p w14:paraId="7E28EA89" w14:textId="77777777" w:rsidR="00241D17" w:rsidRPr="00D01C6B" w:rsidRDefault="00241D17" w:rsidP="00550BFE">
            <w:pPr>
              <w:spacing w:after="0" w:line="240" w:lineRule="auto"/>
              <w:rPr>
                <w:rFonts w:eastAsia="Times New Roman" w:cs="Segoe UI"/>
                <w:b/>
                <w:sz w:val="20"/>
                <w:szCs w:val="20"/>
              </w:rPr>
            </w:pPr>
          </w:p>
        </w:tc>
      </w:tr>
      <w:tr w:rsidR="00241D17" w:rsidRPr="00D01C6B" w14:paraId="439B3C6C" w14:textId="77777777" w:rsidTr="00550BFE">
        <w:trPr>
          <w:trHeight w:val="1678"/>
        </w:trPr>
        <w:tc>
          <w:tcPr>
            <w:tcW w:w="1171" w:type="pct"/>
            <w:tcBorders>
              <w:top w:val="single" w:sz="4" w:space="0" w:color="auto"/>
              <w:bottom w:val="single" w:sz="4" w:space="0" w:color="auto"/>
            </w:tcBorders>
          </w:tcPr>
          <w:p w14:paraId="4AA7B77B" w14:textId="77777777" w:rsidR="00241D17" w:rsidRPr="00D01C6B" w:rsidRDefault="00241D17" w:rsidP="00417363">
            <w:pPr>
              <w:spacing w:after="0" w:line="240" w:lineRule="auto"/>
              <w:rPr>
                <w:rFonts w:eastAsia="Times New Roman" w:cs="Segoe UI"/>
                <w:b/>
                <w:i/>
                <w:iCs/>
                <w:sz w:val="20"/>
                <w:szCs w:val="20"/>
              </w:rPr>
            </w:pPr>
            <w:r w:rsidRPr="00D01C6B">
              <w:rPr>
                <w:rFonts w:eastAsia="Times New Roman" w:cs="Segoe UI"/>
                <w:b/>
                <w:i/>
                <w:iCs/>
                <w:sz w:val="20"/>
                <w:szCs w:val="20"/>
              </w:rPr>
              <w:t>Keyword:</w:t>
            </w:r>
          </w:p>
          <w:p w14:paraId="1F36C327" w14:textId="77777777" w:rsidR="00417363" w:rsidRPr="00D01C6B" w:rsidRDefault="001E0508" w:rsidP="00886EB8">
            <w:pPr>
              <w:spacing w:after="0" w:line="240" w:lineRule="auto"/>
              <w:jc w:val="left"/>
              <w:rPr>
                <w:rFonts w:eastAsia="Times New Roman" w:cs="Segoe UI"/>
                <w:i/>
                <w:iCs/>
                <w:sz w:val="20"/>
                <w:szCs w:val="20"/>
                <w:lang w:val="en-US"/>
              </w:rPr>
            </w:pPr>
            <w:r w:rsidRPr="00D01C6B">
              <w:rPr>
                <w:rFonts w:eastAsia="Times New Roman" w:cs="Segoe UI"/>
                <w:i/>
                <w:iCs/>
                <w:sz w:val="20"/>
                <w:szCs w:val="20"/>
                <w:lang w:val="en-US"/>
              </w:rPr>
              <w:t>regional head discretion, public service, personnel administration, administrative law, good governance, BKPSDM Mappi</w:t>
            </w:r>
          </w:p>
          <w:p w14:paraId="12E97501" w14:textId="77777777" w:rsidR="001E0508" w:rsidRPr="00D01C6B" w:rsidRDefault="001E0508" w:rsidP="00417363">
            <w:pPr>
              <w:spacing w:after="0" w:line="240" w:lineRule="auto"/>
              <w:rPr>
                <w:rFonts w:eastAsia="Times New Roman" w:cs="Segoe UI"/>
                <w:b/>
                <w:iCs/>
                <w:sz w:val="20"/>
                <w:szCs w:val="20"/>
                <w:lang w:val="en-US"/>
              </w:rPr>
            </w:pPr>
          </w:p>
          <w:p w14:paraId="213A65EE" w14:textId="77777777" w:rsidR="00241D17" w:rsidRPr="00D01C6B" w:rsidRDefault="00241D17" w:rsidP="00417363">
            <w:pPr>
              <w:spacing w:after="0" w:line="240" w:lineRule="auto"/>
              <w:rPr>
                <w:rFonts w:eastAsia="Times New Roman" w:cs="Segoe UI"/>
                <w:b/>
                <w:iCs/>
                <w:sz w:val="20"/>
                <w:szCs w:val="20"/>
              </w:rPr>
            </w:pPr>
            <w:r w:rsidRPr="00D01C6B">
              <w:rPr>
                <w:rFonts w:eastAsia="Times New Roman" w:cs="Segoe UI"/>
                <w:b/>
                <w:iCs/>
                <w:sz w:val="20"/>
                <w:szCs w:val="20"/>
              </w:rPr>
              <w:t>Kata Kunci:</w:t>
            </w:r>
          </w:p>
          <w:p w14:paraId="586528A3" w14:textId="77777777" w:rsidR="00241D17" w:rsidRPr="00D01C6B" w:rsidRDefault="001E0508" w:rsidP="00886EB8">
            <w:pPr>
              <w:spacing w:after="0" w:line="240" w:lineRule="auto"/>
              <w:jc w:val="left"/>
              <w:rPr>
                <w:rFonts w:eastAsia="Times New Roman" w:cs="Segoe UI"/>
                <w:i/>
                <w:sz w:val="20"/>
                <w:szCs w:val="20"/>
              </w:rPr>
            </w:pPr>
            <w:r w:rsidRPr="00D01C6B">
              <w:rPr>
                <w:rFonts w:eastAsia="Times New Roman" w:cs="Segoe UI"/>
                <w:iCs/>
                <w:sz w:val="20"/>
                <w:szCs w:val="20"/>
                <w:lang w:val="fi-FI"/>
              </w:rPr>
              <w:t>diskresi kepala daerah, pelayanan publik, administrasi kepegawaian, hukum administrasi negara, good governance, BKPSDM Mappi</w:t>
            </w:r>
          </w:p>
        </w:tc>
        <w:tc>
          <w:tcPr>
            <w:tcW w:w="3829" w:type="pct"/>
            <w:tcBorders>
              <w:top w:val="single" w:sz="4" w:space="0" w:color="auto"/>
              <w:bottom w:val="single" w:sz="4" w:space="0" w:color="auto"/>
            </w:tcBorders>
          </w:tcPr>
          <w:p w14:paraId="3BD4D280" w14:textId="77777777" w:rsidR="00147D80" w:rsidRPr="00D01C6B" w:rsidRDefault="00241D17" w:rsidP="001E0508">
            <w:pPr>
              <w:spacing w:after="0" w:line="240" w:lineRule="auto"/>
              <w:rPr>
                <w:rStyle w:val="Strong"/>
                <w:rFonts w:cs="Segoe UI"/>
                <w:b w:val="0"/>
                <w:bCs w:val="0"/>
                <w:i/>
                <w:iCs/>
                <w:sz w:val="20"/>
                <w:szCs w:val="20"/>
                <w:shd w:val="clear" w:color="auto" w:fill="FFFFFF"/>
              </w:rPr>
            </w:pPr>
            <w:r w:rsidRPr="00D01C6B">
              <w:rPr>
                <w:rFonts w:eastAsia="Times New Roman" w:cs="Segoe UI"/>
                <w:b/>
                <w:i/>
                <w:iCs/>
                <w:sz w:val="20"/>
                <w:szCs w:val="20"/>
              </w:rPr>
              <w:t>Abstract:</w:t>
            </w:r>
            <w:r w:rsidRPr="00D01C6B">
              <w:rPr>
                <w:rFonts w:cs="Segoe UI"/>
                <w:i/>
                <w:iCs/>
                <w:sz w:val="20"/>
                <w:szCs w:val="20"/>
              </w:rPr>
              <w:t xml:space="preserve"> </w:t>
            </w:r>
            <w:r w:rsidRPr="00D01C6B">
              <w:rPr>
                <w:rFonts w:cs="Segoe UI"/>
                <w:i/>
                <w:iCs/>
                <w:sz w:val="20"/>
                <w:szCs w:val="20"/>
                <w:shd w:val="clear" w:color="auto" w:fill="FFFFFF"/>
              </w:rPr>
              <w:t>The digital transformation of civil service administration through BKN Regulation requires ASN management processes to be carried out electronically. In Mappi Regency, a frontier region in South Papua, limited telecommunications infrastructure and human resources triggered an administrative deadlock in essential civil service procedures. In response, the Regent of Mappi issued a Circular Letter on manual civil service administration procedures. This study analyzes the validity of this regional head discretion and its legal and operational implications for legal certainty and continuity of public service at BKPSDM Mappi. The research uses a juridical-empirical method with statutory, conceptual, and case approaches, combining interview data from civil service officials with secondary legal materials. The results show the discretion meets the legitimacy requirements of Article 22 juncto Article 24 of Law No. 30 of 2014, issued to overcome government stagnation, based on objective reasons, and in line with the General Principles of Good Governance and good faith to protect ASN civil rights. The policy creates transitional norms (beleidsregels) providing internal legal certainty and continuity of civil service. Operationally, to prevent data dualism and maintain synchronization with the central BKN system, this study recommends an affirmative policy from BKN in the form of an offline-to-online reconciliation scheme for regions facing geographical and technical obstacles.</w:t>
            </w:r>
          </w:p>
          <w:p w14:paraId="6E9C57CE" w14:textId="77777777" w:rsidR="001E0508" w:rsidRPr="00D01C6B" w:rsidRDefault="001E0508" w:rsidP="001E0508">
            <w:pPr>
              <w:spacing w:after="0" w:line="240" w:lineRule="auto"/>
              <w:rPr>
                <w:rFonts w:eastAsia="Times New Roman" w:cs="Segoe UI"/>
                <w:sz w:val="20"/>
                <w:szCs w:val="20"/>
              </w:rPr>
            </w:pPr>
          </w:p>
          <w:p w14:paraId="7EE17BD5" w14:textId="77777777" w:rsidR="00886EB8" w:rsidRPr="00D01C6B" w:rsidRDefault="00886EB8" w:rsidP="001E0508">
            <w:pPr>
              <w:spacing w:after="0" w:line="240" w:lineRule="auto"/>
              <w:rPr>
                <w:rFonts w:eastAsia="Times New Roman" w:cs="Segoe UI"/>
                <w:b/>
                <w:iCs/>
                <w:sz w:val="20"/>
                <w:szCs w:val="20"/>
              </w:rPr>
            </w:pPr>
          </w:p>
          <w:p w14:paraId="2B58A047" w14:textId="77777777" w:rsidR="00147D80" w:rsidRPr="00D01C6B" w:rsidRDefault="00241D17" w:rsidP="001E0508">
            <w:pPr>
              <w:spacing w:after="0" w:line="240" w:lineRule="auto"/>
              <w:rPr>
                <w:rStyle w:val="Strong"/>
                <w:rFonts w:cs="Segoe UI"/>
                <w:b w:val="0"/>
                <w:bCs w:val="0"/>
                <w:sz w:val="21"/>
                <w:szCs w:val="21"/>
                <w:shd w:val="clear" w:color="auto" w:fill="FFFFFF"/>
              </w:rPr>
            </w:pPr>
            <w:r w:rsidRPr="00D01C6B">
              <w:rPr>
                <w:rFonts w:eastAsia="Times New Roman" w:cs="Segoe UI"/>
                <w:b/>
                <w:iCs/>
                <w:sz w:val="20"/>
                <w:szCs w:val="20"/>
              </w:rPr>
              <w:t>Abstrak:</w:t>
            </w:r>
            <w:r w:rsidRPr="00D01C6B">
              <w:rPr>
                <w:rFonts w:eastAsia="Times New Roman" w:cs="Segoe UI"/>
                <w:iCs/>
                <w:sz w:val="20"/>
                <w:szCs w:val="20"/>
              </w:rPr>
              <w:t xml:space="preserve"> </w:t>
            </w:r>
            <w:r w:rsidRPr="00D01C6B">
              <w:rPr>
                <w:rFonts w:cs="Segoe UI"/>
                <w:sz w:val="20"/>
                <w:szCs w:val="20"/>
                <w:shd w:val="clear" w:color="auto" w:fill="FFFFFF"/>
              </w:rPr>
              <w:t xml:space="preserve">Transformasi digital administrasi kepegawaian nasional melalui Peraturan BKN mewajibkan seluruh proses manajemen ASN dilaksanakan secara elektronik. Di Kabupaten Mappi, wilayah afirmatif/3T di Papua Selatan, keterbatasan infrastruktur telekomunikasi dan sumber daya manusia memicu kemacetan (deadlock) administrasi kepegawaian esensial. Menanggapi kondisi tersebut, Bupati Mappi menerbitkan Surat Edaran tentang Pemberlakuan Prosedur Administrasi Kepegawaian Secara Manual. Penelitian ini menganalisis keabsahan penggunaan diskresi Kepala Daerah tersebut serta implikasi hukum dan operasionalnya terhadap kepastian hukum dan </w:t>
            </w:r>
            <w:r w:rsidRPr="00D01C6B">
              <w:rPr>
                <w:rFonts w:cs="Segoe UI"/>
                <w:sz w:val="20"/>
                <w:szCs w:val="20"/>
                <w:shd w:val="clear" w:color="auto" w:fill="FFFFFF"/>
              </w:rPr>
              <w:lastRenderedPageBreak/>
              <w:t>kontinuitas pelayanan publik di BKPSDM. Penelitian menggunakan metode yuridis-empiris dengan pendekatan perundang-undangan, konseptual, dan kasus, memadukan data primer dari wawancara dengan Pejabat Pembina Kepegawaian dan pejabat BKPSDM dengan data sekunder berupa bahan hukum primer, sekunder, dan tersier. Hasil penelitian menunjukkan bahwa penggunaan diskresi oleh Bupati Mappi memenuhi syarat keabsahan sebagaimana diatur dalam Pasal 22 juncto Pasal 24 Undang-Undang Nomor 30 Tahun 2014, diterbitkan untuk mengatasi stagnasi pemerintahan, didasarkan pada alasan objektif, serta sejalan dengan Asas-Asas Umum Pemerintahan yang Baik dan iktikad baik guna melindungi hak keperdataan ASN. Kebijakan diskresi ini menciptakan norma transisi (beleidsregels) yang memberikan kepastian hukum internal dan menjamin keberlanjutan pelayanan publik kepegawaian. Secara operasional, guna mencegah dualisme data dan menjaga sinkronisasi dengan sistem BKN Pusat, penelitian ini merekomendasikan kebijakan afirmatif dari BKN berupa skema penyesuaian offline-to-online bagi daerah yang mengalami hambatan geografis dan teknis.</w:t>
            </w:r>
          </w:p>
          <w:p w14:paraId="02098E0D" w14:textId="77777777" w:rsidR="001E0508" w:rsidRPr="00D01C6B" w:rsidRDefault="001E0508" w:rsidP="001E0508">
            <w:pPr>
              <w:spacing w:after="0" w:line="240" w:lineRule="auto"/>
              <w:rPr>
                <w:rFonts w:eastAsia="Times New Roman" w:cs="Segoe UI"/>
                <w:iCs/>
                <w:sz w:val="20"/>
                <w:szCs w:val="20"/>
                <w:lang w:val="en-ID"/>
              </w:rPr>
            </w:pPr>
          </w:p>
        </w:tc>
      </w:tr>
      <w:tr w:rsidR="00241D17" w:rsidRPr="00D01C6B" w14:paraId="3A08CC98" w14:textId="77777777" w:rsidTr="00550BFE">
        <w:trPr>
          <w:trHeight w:val="161"/>
        </w:trPr>
        <w:tc>
          <w:tcPr>
            <w:tcW w:w="5000" w:type="pct"/>
            <w:gridSpan w:val="2"/>
            <w:tcBorders>
              <w:top w:val="single" w:sz="4" w:space="0" w:color="auto"/>
              <w:bottom w:val="single" w:sz="4" w:space="0" w:color="auto"/>
            </w:tcBorders>
          </w:tcPr>
          <w:p w14:paraId="3569E1D1" w14:textId="77777777" w:rsidR="00550BFE" w:rsidRPr="00D01C6B" w:rsidRDefault="00241D17" w:rsidP="00732CD5">
            <w:pPr>
              <w:spacing w:after="0" w:line="240" w:lineRule="auto"/>
              <w:rPr>
                <w:rFonts w:cs="Segoe UI"/>
                <w:sz w:val="20"/>
                <w:szCs w:val="20"/>
              </w:rPr>
            </w:pPr>
            <w:r w:rsidRPr="00D01C6B">
              <w:rPr>
                <w:rFonts w:cs="Segoe UI"/>
                <w:b/>
                <w:sz w:val="20"/>
                <w:szCs w:val="20"/>
              </w:rPr>
              <w:lastRenderedPageBreak/>
              <w:t>Informasi Artikel</w:t>
            </w:r>
            <w:r w:rsidRPr="00D01C6B">
              <w:rPr>
                <w:rFonts w:cs="Segoe UI"/>
                <w:sz w:val="20"/>
                <w:szCs w:val="20"/>
              </w:rPr>
              <w:t>:  Diterima: [diisi panitia], Disetujui: [diisi panitia], Dipublikasikan: [diisi panitia]</w:t>
            </w:r>
          </w:p>
        </w:tc>
      </w:tr>
    </w:tbl>
    <w:p w14:paraId="7E9DA97F" w14:textId="77777777" w:rsidR="005D710E" w:rsidRPr="00D01C6B" w:rsidRDefault="005D710E" w:rsidP="005B7859">
      <w:pPr>
        <w:spacing w:after="0" w:line="360" w:lineRule="auto"/>
        <w:ind w:right="-29"/>
        <w:rPr>
          <w:rFonts w:cs="Segoe UI"/>
          <w:b/>
          <w:sz w:val="24"/>
          <w:szCs w:val="24"/>
        </w:rPr>
        <w:sectPr w:rsidR="005D710E" w:rsidRPr="00D01C6B"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017C7BE1" w14:textId="77777777" w:rsidR="001E0508" w:rsidRPr="00D01C6B" w:rsidRDefault="00E02EE7" w:rsidP="00E02EE7">
      <w:pPr>
        <w:pStyle w:val="Heading3"/>
        <w:ind w:firstLine="66"/>
      </w:pPr>
      <w:r w:rsidRPr="00D01C6B">
        <w:t>PENDAHULUAN</w:t>
      </w:r>
    </w:p>
    <w:p w14:paraId="1FA91B44"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Negara Kesatuan Republik Indonesia menganut sistem desentralisasi yang memberikan kewenangan otonomi kepada pemerintah daerah untuk mengatur dan mengurus urusan pemerintahannya sendiri sebagaimana diamanatkan Pasal 18 ayat (2) dan ayat (6) Undang-Undang Dasar Negara Republik Indonesia Tahun 1945. Konsekuensi dari desentralisasi tersebut adalah tuntutan agar penyelenggaraan pemerintahan daerah senantiasa berorientasi pada tata kelola pemerintahan yang baik (good governance), yang kunci keberhasilannya terletak pada kualitas pelayanan publik yang responsif terhadap kebutuhan masyarakat maupun aparatur di dalamnya.</w:t>
      </w:r>
    </w:p>
    <w:p w14:paraId="3587BFD8"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Dalam praktiknya, pejabat pemerintahan tidak jarang dihadapkan pada situasi konkret yang tidak sepenuhnya terjangkau oleh norma hukum tertulis. Untuk mengatasi kekosongan atau ketidaklengkapan aturan tersebut, Undang-Undang Nomor 30 Tahun 2014 tentang Administrasi Pemerintahan memberikan instrumen diskresi (vrij ermessen), yaitu keputusan dan/atau tindakan yang ditetapkan pejabat pemerintahan untuk mengatasi persoalan konkret dalam penyelenggaraan pemerintahan ketika peraturan perundang-undangan tidak mengatur, tidak lengkap, tidak jelas, atau terjadi stagnasi pemerintahan. Pasal 24 undang-undang tersebut menetapkan enam syarat kumulatif keabsahan diskresi, sehingga penggunaannya tidak boleh dilakukan secara sewenang-wenang (willekeur) atau menyimpang dari tujuan pemberiannya (detournement de pouvoir).</w:t>
      </w:r>
    </w:p>
    <w:p w14:paraId="33D79307"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Transformasi digital administrasi kepegawaian nasional turut mendorong lahirnya kewajiban baru bagi pemerintah daerah. Peraturan Badan Kepegawaian Negara Nomor 7 Tahun 2023 tentang Sistem Informasi Aparatur Sipil Negara (SIASN) beserta Surat Edaran Kepala BKN Nomor 7 Tahun 2024 tentang Pemanfaatan Aplikasi Integrated Mutasi (I-Mut) mewajibkan seluruh instansi pemerintah melaksanakan proses pengangkatan, pemindahan, dan pemberhentian Aparatur Sipil Negara (ASN) secara elektronik melalui aplikasi I-Mut SIASN, tanpa lagi menggunakan mekanisme manual.</w:t>
      </w:r>
    </w:p>
    <w:p w14:paraId="703055B2"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lastRenderedPageBreak/>
        <w:t>Kewajiban mandatori tersebut berhadapan dengan kondisi faktual yang berbeda di Kabupaten Mappi, salah satu daerah afirmatif/3T (Tertinggal, Terdepan, Terluar) di Provinsi Papua Selatan. Keterbatasan infrastruktur telekomunikasi, gangguan stabilitas jaringan internet, serta terbatasnya kapasitas teknis sumber daya manusia pengelola sistem pada Badan Kepegawaian dan Pengembangan Sumber Daya Manusia (BKPSDM) Kabupaten Mappi memicu kemacetan total (administrative deadlock) dalam penerbitan Surat Keputusan Pensiun, pemberhentian, dan layanan kepegawaian esensial lainnya. Menanggapi kondisi tersebut, Bupati Mappi menerbitkan Surat Edaran Nomor 800.1.3/238/BUP/III/2025 tanggal 14 Maret 2025 tentang Pemberlakuan Prosedur Administrasi Kepegawaian Secara Manual sebagai bentuk diskresi kepala daerah.</w:t>
      </w:r>
    </w:p>
    <w:p w14:paraId="09548BEC"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Kebijakan tersebut menimbulkan persoalan yuridis mendasar mengenai sejauh mana Kepala Daerah dapat menggunakan diskresinya untuk menjamin keberlangsungan pelayanan tanpa terjebak pada kualifikasi penyalahgunaan wewenang, mengingat kewajiban penggunaan aplikasi digital bersifat mandatori dari pemerintah pusat. Persoalan ini menuntut kajian yuridis-empiris yang tidak hanya menganalisis keabsahan normatif diskresi tersebut, tetapi juga implikasinya terhadap kepastian hukum dan kontinuitas pelayanan publik di lapangan.</w:t>
      </w:r>
    </w:p>
    <w:p w14:paraId="0B8892C3"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Kajian mengenai diskresi pejabat pemerintahan telah cukup berkembang dalam literatur hukum administrasi negara Indonesia, sebagaimana kajian Zaelani, Handayani, dan Isharyanto (2020) yang menegaskan bahwa Asas-Asas Umum Pemerintahan yang Baik berlandaskan nilai Pancasila menjadi dasar utama penggunaan diskresi oleh pejabat pemerintahan. Namun demikian, mayoritas kajian terdahulu terfokus pada level pejabat administratif seperti camat dalam pelayanan administrasi kependudukan atau pada aspek penyalahgunaan diskresi yang berujung tindak pidana, sementara kajian mengenai diskresi Kepala Daerah dalam merespons kegagalan sistem digital kepegawaian nasional di wilayah afirmatif/3T, khususnya pasca-mandatorisasi aplikasi I-Mut SIASN tahun 2024, masih sangat terbatas.</w:t>
      </w:r>
    </w:p>
    <w:p w14:paraId="1172F4E5"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Berdasarkan uraian tersebut, penelitian ini bertujuan untuk menjelaskan dan menganalisis keabsahan penggunaan diskresi Kepala Daerah sebagai sarana hukum pelayanan administrasi kepegawaian di BKPSDM Kabupaten Mappi, serta untuk mengetahui implikasi hukum dan operasional penggunaan diskresi tersebut terhadap kepastian hukum dan kontinuitas pelayanan publik.</w:t>
      </w:r>
    </w:p>
    <w:p w14:paraId="0229B58F"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Penelitian ini diharapkan memberikan kontribusi teoretis bagi pengembangan kajian hukum administrasi negara mengenai diskresi kepala daerah di wilayah dengan keterbatasan infrastruktur digital, serta kontribusi praktis berupa masukan bagi Pemerintah Kabupaten Mappi, Badan Kepegawaian Negara, dan instansi terkait dalam merumuskan kebijakan afirmatif yang mengakomodasi kondisi geografis daerah 3T tanpa mengorbankan integrasi data kepegawaian nasional.</w:t>
      </w:r>
    </w:p>
    <w:p w14:paraId="1526E38D" w14:textId="77777777" w:rsidR="001E0508" w:rsidRPr="00D01C6B" w:rsidRDefault="001C62FB" w:rsidP="00955050">
      <w:pPr>
        <w:pStyle w:val="Heading3"/>
        <w:ind w:left="1134" w:right="322" w:hanging="425"/>
      </w:pPr>
      <w:r w:rsidRPr="00D01C6B">
        <w:t xml:space="preserve">METODOLOGI PENELITIAN </w:t>
      </w:r>
    </w:p>
    <w:p w14:paraId="0FF45F56"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t>2.1 Jenis dan Pendekatan Penelitian</w:t>
      </w:r>
    </w:p>
    <w:p w14:paraId="2CFA18D2"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Penelitian ini merupakan penelitian hukum yuridis-empiris (socio-legal research), yaitu penelitian yang menitikberatkan pada studi kepustakaan terhadap norma hukum diskresi, dilengkapi dengan data primer dari lapangan agar analisis normatif dapat diuji kesesuaiannya dengan kenyataan penyelenggaraan pelayanan publik di daerah. Pengkajian dilakukan melalui pendekatan perundang-undangan (statute approach), pendekatan konseptual (conceptual approach), dan pendekatan kasus (case approach) terhadap penerbitan Surat Edaran Bupati Mappi Nomor 800.1.3/238/BUP/III/2025.</w:t>
      </w:r>
    </w:p>
    <w:p w14:paraId="1196FB12"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lastRenderedPageBreak/>
        <w:t>2.2 Lokasi Penelitian</w:t>
      </w:r>
    </w:p>
    <w:p w14:paraId="682A9FA7"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Penelitian dilaksanakan di Kantor Badan Kepegawaian dan Pengembangan Sumber Daya Manusia (BKPSDM) Kabupaten Mappi, Provinsi Papua Selatan, sebagai instansi yang secara langsung menyelenggarakan pelayanan administrasi kepegawaian yang menjadi objek diskresi.</w:t>
      </w:r>
    </w:p>
    <w:p w14:paraId="463BB9C3"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t>2.3 Jenis dan Sumber Data</w:t>
      </w:r>
    </w:p>
    <w:p w14:paraId="7C523D7C"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Penelitian ini menggunakan dua jenis data. Data primer diperoleh dari lapangan melalui wawancara langsung dengan Pejabat Pembina Kepegawaian (PPK), pejabat BKPSDM Kabupaten Mappi, dan pengelola teknis SIASN. Data sekunder diperoleh melalui studi kepustakaan terhadap bahan hukum primer, sekunder, dan tersier yang relevan dengan masalah penelitian.</w:t>
      </w:r>
    </w:p>
    <w:p w14:paraId="7A0DC178"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t>2.4 Teknik Pengumpulan Data</w:t>
      </w:r>
    </w:p>
    <w:p w14:paraId="7CC40982"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Data primer dikumpulkan melalui wawancara, yaitu tanya jawab langsung dengan responden yang memiliki pengetahuan mengenai pelaksanaan diskresi dan pelayanan kepegawaian. Data sekunder dikumpulkan melalui penelaahan peraturan perundang-undangan, hasil karya ilmiah, dokumen resmi, dan referensi buku yang berkaitan dengan diskresi kepala daerah.</w:t>
      </w:r>
    </w:p>
    <w:p w14:paraId="07ADB63E"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t>2.5 Teknik Analisis Data</w:t>
      </w:r>
    </w:p>
    <w:p w14:paraId="2E351F4C"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Data yang diperoleh disusun dan dianalisis secara kualitatif, kemudian diuraikan secara deskriptif untuk menyajikan hasil data yang tepat dan relevan guna menjawab rumusan masalah penelitian.</w:t>
      </w:r>
    </w:p>
    <w:p w14:paraId="46FE77FB" w14:textId="77777777" w:rsidR="001E0508" w:rsidRPr="00D01C6B" w:rsidRDefault="006F0069" w:rsidP="006F0069">
      <w:pPr>
        <w:pStyle w:val="Heading3"/>
        <w:ind w:left="1134" w:hanging="283"/>
      </w:pPr>
      <w:r w:rsidRPr="00D01C6B">
        <w:rPr>
          <w:iCs/>
        </w:rPr>
        <w:t>HASIL DA</w:t>
      </w:r>
      <w:r w:rsidRPr="00D01C6B">
        <w:t>N PEMBAHASAN</w:t>
      </w:r>
    </w:p>
    <w:p w14:paraId="2B4DBC11"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Hasil dan pembahasan penelitian ini disajikan secara terpadu untuk menjawab dua rumusan masalah, yaitu keabsahan penggunaan diskresi Kepala Daerah dalam pelayanan publik administrasi kepegawaian di BKPSDM Kabupaten Mappi dan implikasi hukum serta operasional dari penggunaan diskresi tersebut.</w:t>
      </w:r>
    </w:p>
    <w:p w14:paraId="60349085"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t>3.1 Keabsahan Diskresi Kepala Daerah dalam Pelayanan Administrasi Kepegawaian</w:t>
      </w:r>
    </w:p>
    <w:p w14:paraId="5B992EEF"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Konstruksi hukum diskresi diatur secara eksplisit dalam Pasal 1 angka 9 Undang-Undang Nomor 30 Tahun 2014 tentang Administrasi Pemerintahan, yaitu keputusan dan/atau tindakan pejabat pemerintahan untuk mengatasi persoalan konkret ketika peraturan perundang-undangan memberikan pilihan, tidak mengatur, tidak lengkap, tidak jelas, dan/atau terjadi stagnasi pemerintahan. Norma tersebut menetapkan batas-batas kewenangan bertindak (vrij bestuur) bagi pejabat publik, dengan membedakan secara teoretis antara wewenang terikat (gebonden bevoegdheid), yang mewajibkan pejabat bertindak persis sesuai teks norma tertulis, dan diskresi (vrij ermessen), yang memberikan ruang penilaian (beoordelingsruimte) dan kebebasan bertindak (beleidsvrijheid) ketika norma tertulis tidak mampu menyelesaikan hambatan faktual (Darumurti, 2016).</w:t>
      </w:r>
    </w:p>
    <w:p w14:paraId="1EAA60E4"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 xml:space="preserve">Dalam kedudukan gandanya (double-capacity), Bupati Mappi bertindak sebagai Kepala Daerah yang menjalankan otonomi luas berdasarkan Pasal 18 ayat (6) UUD 1945 juncto Undang-Undang Nomor 23 Tahun 2014 tentang Pemerintahan Daerah, sekaligus sebagai Pejabat Pembina Kepegawaian (PPK) berdasarkan Pasal 1 angka 14 juncto Pasal 26 Undang-Undang Nomor 20 Tahun 2023 tentang Aparatur Sipil Negara. Ketegangan norma terjadi ketika Surat Edaran Kepala BKN Nomor 7 Tahun 2024 tentang Pemanfaatan Aplikasi Integrated Mutasi (I-Mut) mewajibkan seluruh instansi menggunakan layanan digital secara mandatori, sementara Kabupaten Mappi menghadapi keterbatasan infrastruktur telekomunikasi dan kapasitas teknis SDM yang memicu </w:t>
      </w:r>
      <w:r w:rsidRPr="00D01C6B">
        <w:rPr>
          <w:rFonts w:ascii="Segoe UI" w:hAnsi="Segoe UI" w:cs="Segoe UI"/>
          <w:sz w:val="22"/>
          <w:szCs w:val="22"/>
        </w:rPr>
        <w:lastRenderedPageBreak/>
        <w:t>administrative deadlock dalam penerbitan Surat Keputusan Pensiun, pemberhentian, dan hak-hak keperdataan ASN lainnya.</w:t>
      </w:r>
    </w:p>
    <w:p w14:paraId="0953CB0C"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Untuk menguji apakah Surat Edaran Bupati Mappi Nomor 800.1.3/238/BUP/III/2025 terbebas dari kualifikasi penyalahgunaan wewenang (detournement de pouvoir) atau kesewenang-wenangan (willekeur), dilakukan pengujian normatif berdasarkan enam parameter keabsahan diskresi dalam Pasal 24 Undang-Undang Nomor 30 Tahun 2014. Pertama, kebijakan tersebut sesuai dengan tujuan diskresi sebagaimana Pasal 22 ayat (2), yaitu diterbitkan khusus untuk mengatasi stagnasi pelayanan dan menjamin keberlanjutan hak-hak kepegawaian ASN Mappi. Kedua, kebijakan tidak bertentangan dengan peraturan perundang-undangan, karena hanya menyesuaikan tata cara transmisi berkas dari digital ke manual akibat force majeure teknis, bukan melanggar norma substansial UU ASN. Ketiga, kebijakan sesuai dengan Asas-Asas Umum Pemerintahan yang Baik (AUPB), khususnya asas kemanfaatan yang mencegah kerugian finansial ASN, asas kecermatan yang didasarkan pada verifikasi faktual kendala jaringan, dan asas iktikad baik, sebagaimana ditegaskan Ridwan (2016) bahwa AUPB berfungsi sebagai rambu normatif sekaligus alat ukur keabsahan tindakan pemerintahan. Keempat, kebijakan didasarkan pada alasan objektif berupa kondisi geografis wilayah afirmatif/3T dan kelumpuhan jaringan internet yang nyata. Kelima, kebijakan tidak menimbulkan konflik kepentingan karena murni ditujukan bagi kepentingan publik dan kepastian status ASN, tanpa keuntungan pribadi pejabat. Keenam, kebijakan dilakukan dengan iktikad baik semata-mata untuk melindungi hak hukum ASN dari kegagalan sistem digital.</w:t>
      </w:r>
    </w:p>
    <w:p w14:paraId="6EA13205"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Berdasarkan pengujian keenam parameter tersebut, Surat Edaran Bupati Mappi terbukti memenuhi seluruh syarat keabsahan diskresi dan dengan demikian sah secara yuridis, tepat, dan memiliki legitimasi hukum yang kuat. Jika dikaitkan dengan teori birokrasi tingkat pelaksana (street-level bureaucracy) yang dikemukakan Michael Lipsky, para pelaksana teknis di BKPSDM Kabupaten Mappi pada dasarnya beroperasi di antara jepitan aturan kaku BKN Pusat dan realitas teknis lapangan, sehingga penggunaan diskresi oleh atasan mereka, dalam hal ini Bupati selaku PPK, menjadi instrumen esensial agar pelaksana teknis tidak terjebak pada situasi maladministrasi akibat ketidakmampuan struktural memenuhi kewajiban digital secara instan. Agar diskresi tidak menyimpang menjadi tindakan sewenang-wenang, pelaksanaannya ditempuh melalui tahapan baku, yaitu identifikasi kondisi konkret berupa stagnasi aplikasi I-Mut dan keterbatasan SDM, pengujian persyaratan legitimasi berdasarkan alasan objektif dan AUPB, penerbitan instrumen hukum formil berupa Surat Edaran, hingga pelaksanaan dan pengawasan operasional oleh atasan langsung dan pengawas fungsional guna mencegah detournement de pouvoir.</w:t>
      </w:r>
    </w:p>
    <w:p w14:paraId="3908DF88"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t>3.2 Implikasi Diskresi Kepala Daerah terhadap Kepastian Hukum dan Kontinuitas Pelayanan</w:t>
      </w:r>
    </w:p>
    <w:p w14:paraId="247425AC"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 xml:space="preserve">Penggunaan diskresi oleh Bupati Mappi didasarkan pada empat alasan mendasar yang saling berkaitan. Pertama, stagnasi pelayanan (administrative stalemate) akibat keterbatasan infrastruktur telekomunikasi yang menghentikan fungsionalitas aplikasi I-Mut BKN secara total di wilayah afirmatif/3T. Kedua, keterbatasan kapasitas sumber daya manusia berupa kesenjangan kualifikasi teknis dan literasi digital aparatur pengelola SIASN di daerah terpencil. Ketiga, urgensi layanan kepegawaian esensial yang bersifat time-sensitive, seperti keterlambatan penerbitan Surat Keputusan Pensiun yang berakibat langsung pada terhentinya hak keuangan ASN. Keempat, kekosongan aturan teknis darurat (legal vacuum in emergency), karena regulasi BKN Pusat belum mengatur skema adaptasi offline-to-online bagi wilayah yang mengalami force majeure teknis, </w:t>
      </w:r>
      <w:r w:rsidRPr="00D01C6B">
        <w:rPr>
          <w:rFonts w:ascii="Segoe UI" w:hAnsi="Segoe UI" w:cs="Segoe UI"/>
          <w:sz w:val="22"/>
          <w:szCs w:val="22"/>
        </w:rPr>
        <w:lastRenderedPageBreak/>
        <w:t>sehingga diskresi Bupati Mappi hadir untuk mengisi kekosongan hukum teknis tersebut di tingkat lokal.</w:t>
      </w:r>
    </w:p>
    <w:p w14:paraId="16D5F2FB"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Implikasi hukum yang paling signifikan dari kebijakan ini adalah terciptanya norma transisi (beleidsregels) yang memberikan kepastian hukum internal bagi pejabat pelaksana di lingkungan BKPSDM Kabupaten Mappi. Norma transisi tersebut menghindarkan pejabat teknis dari tuduhan maladministrasi ketika memproses dokumen kepegawaian secara manual di luar sistem elektronik nasional. Implikasi ini sejalan dengan Pasal 22 ayat (2) Undang-Undang Nomor 30 Tahun 2014, yang menegaskan bahwa diskresi bertujuan melancarkan penyelenggaraan pemerintahan, mengisi kekosongan hukum, memberikan kepastian hukum, dan mengatasi stagnasi pemerintahan demi kepentingan umum.</w:t>
      </w:r>
    </w:p>
    <w:p w14:paraId="28D74334"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Secara operasional, diskresi manual ini menjamin keberlanjutan pelayanan publik (continuity of public service), sehingga fungsi pelayanan dasar negara (bestuurszorg) tidak terhenti hanya karena kegagalan perangkat teknis. Guna mencegah dualisme data kepegawaian dan menjaga integritas Basis Data Kepegawaian Nasional pada BKN Pusat, diskresi ini dilengkapi mekanisme penatausahaan susulan (back-entry data reconciliation), yaitu kewajiban operator BKPSDM Kabupaten Mappi untuk mengunggah dan mendigitalisasi seluruh dokumen manual ke aplikasi SIASN/I-Mut setelah jaringan internet kembali stabil atau melalui pengiriman berkas fisik ke Kantor Regional BKN. Mekanisme ini memastikan keabsahan administrasi lokal dan sinkronisasi data nasional tetap terjalin secara harmonis dan akuntabel.</w:t>
      </w:r>
    </w:p>
    <w:p w14:paraId="6539E852"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Perlu ditegaskan bahwa keberlakuan diskresi ini bersifat sementara (temporary measure) dan melekat padanya kewajiban akuntabilitas. Pengawasan internal oleh Aparat Pengawasan Intern Pemerintah (APIP) serta pengawasan eksternal oleh Ombudsman Republik Indonesia dan Kantor Regional BKN tetap berjalan untuk memastikan setiap Surat Keputusan yang diterbitkan secara manual dapat dipertanggungjawabkan. Prinsip ini konsisten dengan asas geen bevoegdheid zonder verantwoordelijkheid, yaitu tidak ada kewenangan tanpa pertanggungjawaban, yang menjadi pengendali agar diskresi Bupati Mappi tetap berada dalam koridor negara hukum.</w:t>
      </w:r>
    </w:p>
    <w:p w14:paraId="79928819" w14:textId="77777777" w:rsidR="00632043" w:rsidRPr="00D01C6B" w:rsidRDefault="00000000">
      <w:pPr>
        <w:pStyle w:val="Heading4"/>
        <w:ind w:left="567" w:right="322" w:firstLine="567"/>
        <w:rPr>
          <w:rStyle w:val="mediumtext"/>
          <w:rFonts w:ascii="Segoe UI" w:hAnsi="Segoe UI" w:cs="Segoe UI"/>
          <w:color w:val="auto"/>
        </w:rPr>
      </w:pPr>
      <w:r w:rsidRPr="00D01C6B">
        <w:rPr>
          <w:rStyle w:val="mediumtext"/>
          <w:rFonts w:ascii="Segoe UI" w:hAnsi="Segoe UI" w:cs="Segoe UI"/>
          <w:b/>
          <w:color w:val="auto"/>
        </w:rPr>
        <w:t>3.3 Implikasi Teoretis dan Praktis</w:t>
      </w:r>
    </w:p>
    <w:p w14:paraId="057C2005"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Secara teoretis, penelitian ini memperkaya kajian hukum administrasi negara dengan menunjukkan bahwa diskresi kepala daerah pada wilayah afirmatif/3T tidak hanya berfungsi mengisi kekosongan norma, tetapi juga menjadi instrumen penyeimbang antara kewajiban digitalisasi nasional yang bersifat mandatori dengan realitas struktural daerah yang belum siap secara infrastruktur, sejalan dengan kerangka street-level bureaucracy. Secara praktis, penelitian ini merekomendasikan agar Pemerintah Kabupaten Mappi melembagakan diskresi ini ke dalam Peraturan Bupati sebagai payung hukum yang lebih kuat, membentuk tim rekonsiliasi data manual secara terjadwal, serta agar Badan Kepegawaian Negara menerbitkan kebijakan afirmatif berupa skema offline-to-online reconciliation dan fitur moda luring pada aplikasi SIASN/I-Mut bagi daerah dengan kendala geografis ekstrem.</w:t>
      </w:r>
    </w:p>
    <w:p w14:paraId="05E519E4" w14:textId="77777777" w:rsidR="001E0508" w:rsidRPr="00D01C6B" w:rsidRDefault="00985560" w:rsidP="00985560">
      <w:pPr>
        <w:pStyle w:val="Heading3"/>
        <w:ind w:left="993" w:hanging="426"/>
      </w:pPr>
      <w:r w:rsidRPr="00D01C6B">
        <w:t>KESIMPULAN</w:t>
      </w:r>
    </w:p>
    <w:p w14:paraId="411EEA8A"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 xml:space="preserve">Berdasarkan hasil dan pembahasan, dapat disimpulkan bahwa penerbitan Surat Edaran Bupati Mappi Nomor 800.1.3/238/BUP/III/2025 tentang Pemberlakuan Prosedur Administrasi Kepegawaian Secara Manual memenuhi syarat keabsahan diskresi sebagaimana diatur dalam Pasal 22 juncto Pasal 24 Undang-Undang Nomor 30 Tahun 2014 tentang Administrasi Pemerintahan. Kebijakan ini sah dan legitim karena diterbitkan oleh pejabat yang berwenang </w:t>
      </w:r>
      <w:r w:rsidRPr="00D01C6B">
        <w:rPr>
          <w:rFonts w:ascii="Segoe UI" w:hAnsi="Segoe UI" w:cs="Segoe UI"/>
          <w:sz w:val="22"/>
          <w:szCs w:val="22"/>
        </w:rPr>
        <w:lastRenderedPageBreak/>
        <w:t>untuk mengatasi stagnasi pemerintahan akibat keterbatasan infrastruktur telekomunikasi dan kondisi geografis daerah afirmatif/3T, didasarkan pada alasan-alasan objektif, tidak bertentangan dengan peraturan perundang-undangan, serta sejalan dengan Asas-Asas Umum Pemerintahan yang Baik, khususnya asas kemanfaatan, asas kecermatan, dan asas iktikad baik untuk melindungi hak-hak keperdataan Aparatur Sipil Negara.</w:t>
      </w:r>
    </w:p>
    <w:p w14:paraId="5A187823"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Implikasi hukum dari kebijakan diskresi ini adalah terciptanya norma transisi (beleidsregels) yang memberikan kepastian hukum internal bagi pejabat pelaksana di lingkungan BKPSDM Kabupaten Mappi, sehingga menghindarkan mereka dari tuduhan maladministrasi. Secara operasional, diskresi ini menjamin keberlanjutan pelayanan publik kepegawaian dan dilengkapi mekanisme penatausahaan susulan (back-entry data reconciliation) guna mencegah dualisme data dan menjaga integritas Basis Data Kepegawaian Nasional, dengan tetap melekat kewajiban akuntabilitas melalui pengawasan internal maupun eksternal sesuai prinsip tidak ada kewenangan tanpa pertanggungjawaban.</w:t>
      </w:r>
    </w:p>
    <w:p w14:paraId="77C5C5E8" w14:textId="77777777" w:rsidR="00632043" w:rsidRPr="00D01C6B" w:rsidRDefault="00000000">
      <w:pPr>
        <w:pStyle w:val="IEEEParagraph"/>
        <w:ind w:left="567" w:right="322" w:firstLine="567"/>
        <w:rPr>
          <w:rFonts w:ascii="Segoe UI" w:hAnsi="Segoe UI" w:cs="Segoe UI"/>
          <w:sz w:val="22"/>
          <w:szCs w:val="22"/>
        </w:rPr>
      </w:pPr>
      <w:r w:rsidRPr="00D01C6B">
        <w:rPr>
          <w:rFonts w:ascii="Segoe UI" w:hAnsi="Segoe UI" w:cs="Segoe UI"/>
          <w:sz w:val="22"/>
          <w:szCs w:val="22"/>
        </w:rPr>
        <w:t>Sejalan dengan simpulan tersebut, disarankan agar Pemerintah Kabupaten Mappi melembagakan kebijakan diskresi ini ke dalam Peraturan Bupati atau Standar Operasional Prosedur resmi tentang prosedur administrasi kepegawaian dalam kondisi kahar, membentuk tim rekonsiliasi data manual secara terjadwal, serta memprioritaskan penguatan infrastruktur jaringan pada unit pelayanan publik krusial. Selain itu, Badan Kepegawaian Negara diharapkan menerbitkan kebijakan afirmatif berupa skema offline-to-online reconciliation dan mengembangkan fitur moda luring pada aplikasi SIASN/I-Mut bagi daerah dengan kendala geografis dan infrastruktur ekstrem, sementara penelitian selanjutnya disarankan mengkaji efektivitas biaya dan tingkat kepuasan ASN terhadap pelayanan kepegawaian berbasis diskresi manual dibandingkan sistem elektronik penuh di daerah terpencil.</w:t>
      </w:r>
    </w:p>
    <w:p w14:paraId="79464466" w14:textId="77777777" w:rsidR="001E0508" w:rsidRPr="00D01C6B" w:rsidRDefault="001E0508" w:rsidP="001E0508">
      <w:pPr>
        <w:pStyle w:val="IEEEHeading1"/>
        <w:numPr>
          <w:ilvl w:val="0"/>
          <w:numId w:val="0"/>
        </w:numPr>
        <w:ind w:firstLine="567"/>
        <w:jc w:val="both"/>
        <w:rPr>
          <w:rFonts w:ascii="Segoe UI" w:hAnsi="Segoe UI" w:cs="Segoe UI"/>
          <w:b/>
          <w:bCs/>
          <w:sz w:val="24"/>
          <w:lang w:val="sv-SE"/>
        </w:rPr>
      </w:pPr>
      <w:r w:rsidRPr="00D01C6B">
        <w:rPr>
          <w:rFonts w:ascii="Segoe UI" w:hAnsi="Segoe UI" w:cs="Segoe UI"/>
          <w:b/>
          <w:bCs/>
          <w:sz w:val="24"/>
          <w:lang w:val="sv-SE"/>
        </w:rPr>
        <w:t>Referensi</w:t>
      </w:r>
    </w:p>
    <w:p w14:paraId="17BAE548"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Badan Kepegawaian Negara. (2023). Peraturan Badan Kepegawaian Negara Nomor 7 Tahun 2023 tentang Sistem Informasi Aparatur Sipil Negara (SIASN).</w:t>
      </w:r>
    </w:p>
    <w:p w14:paraId="77FAC81B"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Bupati Mappi. (2025). Surat Edaran Bupati Mappi Nomor 800.1.3/238/BUP/III/2025 tentang Pemberlakuan Prosedur Administrasi Kepegawaian Secara Manual (Sistem Tanggap Darurat Administrasi).</w:t>
      </w:r>
    </w:p>
    <w:p w14:paraId="6ADBA28D"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Darumurti, K. (2016). Diskresi: Kajian teori hukum dengan postscript dan apendiks. Genta Publishing.</w:t>
      </w:r>
    </w:p>
    <w:p w14:paraId="06F7E70C"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Kepala Badan Kepegawaian Negara. (2024). Surat Edaran Kepala Badan Kepegawaian Negara Nomor 7 Tahun 2024 tentang Pemanfaatan Aplikasi Integrated Mutasi (I-Mut).</w:t>
      </w:r>
    </w:p>
    <w:p w14:paraId="6F677985"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Lipsky, M. (1980). Street-level bureaucracy: Dilemmas of the individual in public services. Russell Sage Foundation.</w:t>
      </w:r>
    </w:p>
    <w:p w14:paraId="6FADCC10"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Republik Indonesia. (1945). Undang-Undang Dasar Negara Republik Indonesia Tahun 1945.</w:t>
      </w:r>
    </w:p>
    <w:p w14:paraId="797A7F9D"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Republik Indonesia. (2014). Undang-Undang Nomor 23 Tahun 2014 tentang Pemerintahan Daerah.</w:t>
      </w:r>
    </w:p>
    <w:p w14:paraId="6B7EA956"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Republik Indonesia. (2014). Undang-Undang Nomor 30 Tahun 2014 tentang Administrasi Pemerintahan.</w:t>
      </w:r>
    </w:p>
    <w:p w14:paraId="75333975"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Republik Indonesia. (2023). Undang-Undang Nomor 20 Tahun 2023 tentang Aparatur Sipil Negara.</w:t>
      </w:r>
    </w:p>
    <w:p w14:paraId="49302907"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Ridwan, H. (2016). Hukum administrasi negara. Rajawali Pers.</w:t>
      </w:r>
    </w:p>
    <w:p w14:paraId="57A2BE32" w14:textId="77777777" w:rsidR="00632043" w:rsidRPr="00D01C6B" w:rsidRDefault="00000000">
      <w:pPr>
        <w:spacing w:after="120" w:line="240" w:lineRule="auto"/>
        <w:ind w:left="567" w:right="322" w:hanging="567"/>
        <w:rPr>
          <w:rFonts w:cs="Segoe UI"/>
          <w:sz w:val="20"/>
          <w:szCs w:val="20"/>
        </w:rPr>
      </w:pPr>
      <w:r w:rsidRPr="00D01C6B">
        <w:rPr>
          <w:rFonts w:cs="Segoe UI"/>
          <w:sz w:val="20"/>
          <w:szCs w:val="20"/>
        </w:rPr>
        <w:t>Zaelani, M. A., Handayani, I. G. K. A. R., &amp; Isharyanto, I. (2020). Asas umum pemerintahan yang baik berlandaskan Pancasila sebagai dasar penggunaan diskresi. Jurnal Hukum IUS QUIA IUSTUM, 26(3), 458-480.</w:t>
      </w:r>
    </w:p>
    <w:sectPr w:rsidR="00632043" w:rsidRPr="00D01C6B"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41F1D" w14:textId="77777777" w:rsidR="00163E01" w:rsidRDefault="00163E01" w:rsidP="009B0AF6">
      <w:pPr>
        <w:spacing w:after="0" w:line="240" w:lineRule="auto"/>
      </w:pPr>
      <w:r>
        <w:separator/>
      </w:r>
    </w:p>
  </w:endnote>
  <w:endnote w:type="continuationSeparator" w:id="0">
    <w:p w14:paraId="15FA1F83" w14:textId="77777777" w:rsidR="00163E01" w:rsidRDefault="00163E01"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67B9A1FD"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Edwardus D. Sakthi*</w:t>
        </w:r>
      </w:p>
      <w:p w14:paraId="57884A44"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5811" w14:textId="77777777" w:rsidR="00163E01" w:rsidRDefault="00163E01" w:rsidP="009B0AF6">
      <w:pPr>
        <w:spacing w:after="0" w:line="240" w:lineRule="auto"/>
      </w:pPr>
      <w:r>
        <w:separator/>
      </w:r>
    </w:p>
  </w:footnote>
  <w:footnote w:type="continuationSeparator" w:id="0">
    <w:p w14:paraId="561589F0" w14:textId="77777777" w:rsidR="00163E01" w:rsidRDefault="00163E01"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8AF4"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ABBC"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63E01"/>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577F3"/>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2043"/>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01C6B"/>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1F860"/>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wardus@ukipaulu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3520</Words>
  <Characters>20069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2026-08-09T23:38:00Z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