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7C5E7" w14:textId="2A705733"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sidR="009B0AF6" w:rsidRPr="00C676AF">
        <w:rPr>
          <w:rFonts w:cs="Segoe UI"/>
          <w:i/>
          <w:iCs/>
          <w:noProof/>
          <w:sz w:val="20"/>
          <w:szCs w:val="20"/>
          <w:u w:val="single"/>
          <w:lang w:val="en-IN" w:eastAsia="en-IN"/>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" strokeweight="1pt">
                <v:stroke joinstyle="miter"/>
              </v:line>
            </w:pict>
          </mc:Fallback>
        </mc:AlternateContent>
      </w:r>
      <w:r w:rsidR="007677D4">
        <w:rPr>
          <w:rFonts w:cs="Segoe UI"/>
          <w:i/>
          <w:noProof/>
          <w:sz w:val="16"/>
          <w:szCs w:val="16"/>
          <w:lang w:val="en-IN" w:eastAsia="en-IN"/>
        </w:rPr>
        <w:t xml:space="preserve">                   </w:t>
      </w:r>
      <w:r>
        <w:rPr>
          <w:rFonts w:cs="Segoe UI"/>
          <w:i/>
          <w:noProof/>
          <w:sz w:val="16"/>
          <w:szCs w:val="16"/>
          <w:lang w:val="en-IN" w:eastAsia="en-IN"/>
        </w:rPr>
        <w:t xml:space="preserve">                  </w:t>
      </w:r>
      <w:r w:rsidR="007677D4">
        <w:rPr>
          <w:rFonts w:cs="Segoe UI"/>
          <w:i/>
          <w:noProof/>
          <w:sz w:val="16"/>
          <w:szCs w:val="16"/>
          <w:lang w:val="en-IN" w:eastAsia="en-IN"/>
        </w:rPr>
        <w:t xml:space="preserve">  </w:t>
      </w:r>
      <w:hyperlink r:id="rId10" w:history="1">
        <w:r w:rsidR="006F20C0" w:rsidRPr="00481A3C">
          <w:rPr>
            <w:rStyle w:val="Hyperlink"/>
            <w:rFonts w:cs="Segoe UI"/>
            <w:i/>
            <w:noProof/>
            <w:sz w:val="16"/>
            <w:szCs w:val="16"/>
            <w:lang w:val="en-IN" w:eastAsia="en-IN"/>
          </w:rPr>
          <w:t>https://ojs.ukipaulus.ac.id/index.php/psnp</w:t>
        </w:r>
      </w:hyperlink>
      <w:r w:rsidR="006F20C0">
        <w:rPr>
          <w:rFonts w:cs="Segoe UI"/>
          <w:i/>
          <w:noProof/>
          <w:sz w:val="16"/>
          <w:szCs w:val="16"/>
          <w:lang w:val="en-IN" w:eastAsia="en-IN"/>
        </w:rPr>
        <w:t xml:space="preserve"> </w:t>
      </w:r>
      <w:r w:rsidR="006F20C0">
        <w:t xml:space="preserve">  </w:t>
      </w:r>
    </w:p>
    <w:p w14:paraId="76CB2357"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747235D0" w14:textId="1EC4966A"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Humanesia</w:t>
      </w:r>
      <w:r w:rsidR="00E109A4">
        <w:rPr>
          <w:rFonts w:cs="Segoe UI"/>
          <w:b/>
          <w:sz w:val="36"/>
          <w:szCs w:val="28"/>
        </w:rPr>
        <w:t xml:space="preserve"> Pascasarjana</w:t>
      </w:r>
    </w:p>
    <w:p w14:paraId="5199D495" w14:textId="2F27610F" w:rsidR="00AD7C4B" w:rsidRDefault="003A4408" w:rsidP="003A4408">
      <w:pPr>
        <w:spacing w:after="0" w:line="240" w:lineRule="auto"/>
        <w:jc w:val="center"/>
        <w:rPr>
          <w:rFonts w:cs="Segoe UI"/>
          <w:b/>
          <w:sz w:val="16"/>
          <w:szCs w:val="16"/>
        </w:rPr>
      </w:pPr>
      <w:r w:rsidRPr="00886EB8">
        <w:rPr>
          <w:rFonts w:cs="Segoe UI"/>
          <w:b/>
          <w:sz w:val="16"/>
          <w:szCs w:val="16"/>
        </w:rPr>
        <w:t xml:space="preserve">(Humaniora, </w:t>
      </w:r>
      <w:r w:rsidR="00886EB8" w:rsidRPr="00886EB8">
        <w:rPr>
          <w:rFonts w:cs="Segoe UI"/>
          <w:b/>
          <w:sz w:val="16"/>
          <w:szCs w:val="16"/>
        </w:rPr>
        <w:t>Ekonomi, Bisnis, Manajemen, Hukum dan Sosi</w:t>
      </w:r>
      <w:r w:rsidR="00354464">
        <w:rPr>
          <w:rFonts w:cs="Segoe UI"/>
          <w:b/>
          <w:sz w:val="16"/>
          <w:szCs w:val="16"/>
        </w:rPr>
        <w:t>o</w:t>
      </w:r>
      <w:r w:rsidR="00886EB8" w:rsidRPr="00886EB8">
        <w:rPr>
          <w:rFonts w:cs="Segoe UI"/>
          <w:b/>
          <w:sz w:val="16"/>
          <w:szCs w:val="16"/>
        </w:rPr>
        <w:t>logi)</w:t>
      </w:r>
    </w:p>
    <w:p w14:paraId="3F128BA9" w14:textId="0ED6C639" w:rsidR="0010607A" w:rsidRDefault="00886EB8" w:rsidP="00E109A4">
      <w:pPr>
        <w:spacing w:after="0" w:line="240" w:lineRule="auto"/>
        <w:jc w:val="center"/>
        <w:rPr>
          <w:rFonts w:cs="Segoe UI"/>
          <w:b/>
        </w:rPr>
      </w:pPr>
      <w:r w:rsidRPr="0010607A">
        <w:rPr>
          <w:rFonts w:cs="Segoe UI"/>
          <w:b/>
        </w:rPr>
        <w:t>Universitas Kristen Indonesia Paulus</w:t>
      </w:r>
    </w:p>
    <w:p w14:paraId="42211695" w14:textId="133865A4" w:rsidR="007677D4" w:rsidRPr="0010607A" w:rsidRDefault="00E109A4" w:rsidP="00E109A4">
      <w:pPr>
        <w:spacing w:after="0" w:line="240" w:lineRule="auto"/>
        <w:jc w:val="left"/>
        <w:rPr>
          <w:rFonts w:cs="Segoe UI"/>
          <w:b/>
          <w:sz w:val="20"/>
          <w:szCs w:val="20"/>
        </w:rPr>
      </w:pPr>
      <w:r>
        <w:rPr>
          <w:rFonts w:cs="Segoe UI"/>
          <w:b/>
          <w:sz w:val="20"/>
          <w:szCs w:val="20"/>
        </w:rPr>
        <w:t xml:space="preserve">                                                                 </w:t>
      </w:r>
      <w:r w:rsidR="00886EB8" w:rsidRPr="0010607A">
        <w:rPr>
          <w:rFonts w:cs="Segoe UI"/>
          <w:b/>
          <w:sz w:val="20"/>
          <w:szCs w:val="20"/>
        </w:rPr>
        <w:t>Makassar, Indonesia</w:t>
      </w:r>
    </w:p>
    <w:p w14:paraId="4A29B526" w14:textId="0137736E" w:rsidR="001E0508" w:rsidRPr="00C676AF" w:rsidRDefault="00E109A4" w:rsidP="007677D4">
      <w:pPr>
        <w:spacing w:after="0" w:line="240" w:lineRule="auto"/>
        <w:jc w:val="left"/>
        <w:rPr>
          <w:rFonts w:cs="Segoe UI"/>
          <w:b/>
          <w:sz w:val="20"/>
          <w:szCs w:val="20"/>
        </w:rPr>
      </w:pPr>
      <w:r w:rsidRPr="00C676AF">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" strokecolor="#008ed2" strokeweight="3pt">
                <v:stroke joinstyle="miter"/>
              </v:line>
            </w:pict>
          </mc:Fallback>
        </mc:AlternateContent>
      </w:r>
    </w:p>
    <w:p w14:paraId="157D411B" w14:textId="4E006BE1" w:rsidR="00AD7C4B" w:rsidRPr="00C676AF" w:rsidRDefault="00AD7C4B" w:rsidP="00676A1B">
      <w:pPr>
        <w:tabs>
          <w:tab w:val="right" w:pos="9026"/>
        </w:tabs>
        <w:spacing w:after="0" w:line="240" w:lineRule="auto"/>
        <w:rPr>
          <w:rFonts w:cs="Segoe UI"/>
          <w:b/>
          <w:sz w:val="20"/>
          <w:szCs w:val="20"/>
        </w:rPr>
      </w:pPr>
      <w:r w:rsidRPr="00C676AF">
        <w:rPr>
          <w:rFonts w:cs="Segoe UI"/>
          <w:b/>
          <w:sz w:val="20"/>
          <w:szCs w:val="20"/>
        </w:rPr>
        <w:tab/>
      </w:r>
    </w:p>
    <w:p w14:paraId="01376EA5" w14:textId="3A933C7B" w:rsidR="00676A1B" w:rsidRPr="003A4408" w:rsidRDefault="006F20C0" w:rsidP="00100027">
      <w:pPr>
        <w:tabs>
          <w:tab w:val="right" w:pos="9026"/>
        </w:tabs>
        <w:spacing w:after="0" w:line="240" w:lineRule="auto"/>
        <w:jc w:val="center"/>
        <w:rPr>
          <w:rFonts w:cs="Segoe UI"/>
          <w:b/>
          <w:sz w:val="30"/>
          <w:szCs w:val="30"/>
          <w:lang w:val="en-US"/>
        </w:rPr>
      </w:pPr>
      <w:r w:rsidRPr="003A4408">
        <w:rPr>
          <w:rFonts w:cs="Segoe UI"/>
          <w:b/>
          <w:bCs/>
          <w:sz w:val="30"/>
          <w:szCs w:val="30"/>
          <w:lang w:val="id"/>
        </w:rPr>
        <w:t xml:space="preserve">Dakwaan Alternatif dan Pertimbangan Hakim dalam Tindak Pidana Penipuan Berkedok Penerimaan CPNS</w:t>
      </w:r>
    </w:p>
    <w:p w14:paraId="3A1EF515" w14:textId="6350003F" w:rsidR="00100027" w:rsidRPr="00100027" w:rsidRDefault="00100027" w:rsidP="007677D4">
      <w:pPr>
        <w:tabs>
          <w:tab w:val="right" w:pos="9026"/>
        </w:tabs>
        <w:spacing w:after="0" w:line="240" w:lineRule="auto"/>
        <w:jc w:val="left"/>
        <w:rPr>
          <w:rFonts w:cs="Segoe UI"/>
          <w:i/>
          <w:sz w:val="24"/>
          <w:szCs w:val="20"/>
          <w:lang w:val="en-US"/>
        </w:rPr>
      </w:pPr>
    </w:p>
    <w:p w14:paraId="469C6E82" w14:textId="183D7E7F" w:rsidR="00361A98" w:rsidRPr="00C676AF" w:rsidRDefault="00361A98" w:rsidP="00676A1B">
      <w:pPr>
        <w:tabs>
          <w:tab w:val="right" w:pos="9026"/>
        </w:tabs>
        <w:spacing w:after="0" w:line="240" w:lineRule="auto"/>
        <w:rPr>
          <w:rFonts w:cs="Segoe UI"/>
          <w:sz w:val="20"/>
          <w:szCs w:val="20"/>
        </w:rPr>
      </w:pPr>
    </w:p>
    <w:p w14:paraId="7A483E67" w14:textId="5C7B2371" w:rsidR="00AC334E" w:rsidRPr="00886EB8" w:rsidRDefault="001E0508" w:rsidP="00C00D09">
      <w:pPr>
        <w:tabs>
          <w:tab w:val="right" w:pos="9026"/>
        </w:tabs>
        <w:spacing w:after="0" w:line="240" w:lineRule="auto"/>
        <w:rPr>
          <w:rFonts w:cs="Segoe UI"/>
          <w:b/>
          <w:bCs/>
          <w:sz w:val="24"/>
          <w:szCs w:val="24"/>
          <w:lang w:val="fi-FI"/>
        </w:rPr>
      </w:pPr>
      <w:r w:rsidRPr="00886EB8">
        <w:rPr>
          <w:rFonts w:cs="Segoe UI"/>
          <w:b/>
          <w:bCs/>
          <w:sz w:val="24"/>
          <w:szCs w:val="24"/>
          <w:lang w:val="fi-FI"/>
        </w:rPr>
        <w:t xml:space="preserve">Dimas Saputra</w:t>
      </w:r>
      <w:r w:rsidRPr="00886EB8">
        <w:rPr>
          <w:rFonts w:cs="Segoe UI"/>
          <w:b/>
          <w:bCs/>
          <w:sz w:val="24"/>
          <w:szCs w:val="24"/>
          <w:lang w:val="fi-FI"/>
          <w:vertAlign w:val="superscript"/>
        </w:rPr>
        <w:t xml:space="preserve">1</w:t>
      </w:r>
      <w:r w:rsidRPr="00886EB8">
        <w:rPr>
          <w:rFonts w:cs="Segoe UI"/>
          <w:b/>
          <w:bCs/>
          <w:sz w:val="24"/>
          <w:szCs w:val="24"/>
          <w:lang w:val="fi-FI"/>
        </w:rPr>
        <w:t xml:space="preserve">*</w:t>
      </w:r>
    </w:p>
    <w:p w14:paraId="408EDE2B" w14:textId="640F5D4D" w:rsidR="00AC334E" w:rsidRDefault="001E0508" w:rsidP="00241D17">
      <w:pPr>
        <w:tabs>
          <w:tab w:val="right" w:pos="9026"/>
        </w:tabs>
        <w:spacing w:after="0" w:line="240" w:lineRule="auto"/>
        <w:rPr>
          <w:rFonts w:cs="Segoe UI"/>
          <w:sz w:val="20"/>
          <w:szCs w:val="20"/>
          <w:lang w:val="fi-FI"/>
        </w:rPr>
      </w:pPr>
      <w:r w:rsidRPr="007677D4">
        <w:rPr>
          <w:rFonts w:cs="Segoe UI"/>
          <w:sz w:val="20"/>
          <w:szCs w:val="20"/>
          <w:lang w:val="fi-FI"/>
          <w:vertAlign w:val="superscript"/>
        </w:rPr>
        <w:t xml:space="preserve">1</w:t>
      </w:r>
      <w:r w:rsidRPr="007677D4">
        <w:rPr>
          <w:rFonts w:cs="Segoe UI"/>
          <w:sz w:val="20"/>
          <w:szCs w:val="20"/>
          <w:lang w:val="fi-FI"/>
        </w:rPr>
        <w:t xml:space="preserve"> Program Studi Magister Ilmu Hukum, Program Pascasarjana, Universitas Kristen Indonesia Paulus, Makassar, Indonesia</w:t>
      </w:r>
    </w:p>
    <w:p w14:paraId="03280406" w14:textId="36D2D9A5" w:rsidR="00BE12F5" w:rsidRPr="007677D4" w:rsidRDefault="006F20C0" w:rsidP="00241D17">
      <w:pPr>
        <w:tabs>
          <w:tab w:val="right" w:pos="9026"/>
        </w:tabs>
        <w:spacing w:after="0" w:line="240" w:lineRule="auto"/>
        <w:rPr>
          <w:rFonts w:cs="Segoe UI"/>
          <w:i/>
          <w:sz w:val="18"/>
          <w:szCs w:val="18"/>
          <w:lang w:val="en-US"/>
        </w:rPr>
      </w:pPr>
      <w:r w:rsidR="001E0508" w:rsidRPr="007677D4">
        <w:rPr>
          <w:rFonts w:cs="Segoe UI"/>
          <w:i/>
          <w:sz w:val="18"/>
          <w:szCs w:val="18"/>
          <w:lang w:val="fi-FI"/>
        </w:rPr>
        <w:t xml:space="preserve">dimas@ukipaulus.ac.id (Korespondensi)*</w:t>
      </w:r>
    </w:p>
    <w:p w14:paraId="2A959B97"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0562E13F" w14:textId="77777777" w:rsidTr="00550BFE">
        <w:trPr>
          <w:trHeight w:val="189"/>
        </w:trPr>
        <w:tc>
          <w:tcPr>
            <w:tcW w:w="1171" w:type="pct"/>
            <w:tcBorders>
              <w:top w:val="single" w:sz="4" w:space="0" w:color="auto"/>
              <w:bottom w:val="single" w:sz="4" w:space="0" w:color="auto"/>
            </w:tcBorders>
          </w:tcPr>
          <w:p w14:paraId="312F1C6B" w14:textId="05A6C11E"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7761FE3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57D7D53D" w14:textId="77777777" w:rsidTr="00550BFE">
        <w:trPr>
          <w:trHeight w:val="1678"/>
        </w:trPr>
        <w:tc>
          <w:tcPr>
            <w:tcW w:w="1171" w:type="pct"/>
            <w:tcBorders>
              <w:top w:val="single" w:sz="4" w:space="0" w:color="auto"/>
              <w:bottom w:val="single" w:sz="4" w:space="0" w:color="auto"/>
            </w:tcBorders>
          </w:tcPr>
          <w:p w14:paraId="3D67F033" w14:textId="77777777" w:rsidR="00241D17" w:rsidRPr="00C676AF" w:rsidRDefault="00241D17" w:rsidP="00417363">
            <w:pPr>
              <w:spacing w:after="0" w:line="240" w:lineRule="auto"/>
              <w:rPr>
                <w:rFonts w:eastAsia="Times New Roman" w:cs="Segoe UI"/>
                <w:b/>
                <w:i/>
                <w:iCs/>
                <w:color w:val="181717"/>
                <w:sz w:val="20"/>
                <w:szCs w:val="20"/>
              </w:rPr>
            </w:pPr>
            <w:r w:rsidRPr="00C676AF">
              <w:rPr>
                <w:rFonts w:eastAsia="Times New Roman" w:cs="Segoe UI"/>
                <w:b/>
                <w:i/>
                <w:iCs/>
                <w:color w:val="181717"/>
                <w:sz w:val="20"/>
                <w:szCs w:val="20"/>
              </w:rPr>
              <w:t xml:space="preserve">Keyword:</w:t>
            </w:r>
          </w:p>
          <w:p w14:paraId="3BBA5661" w14:textId="6B1A32C2" w:rsidR="00417363" w:rsidRDefault="001E0508" w:rsidP="00886EB8">
            <w:pPr>
              <w:spacing w:after="0" w:line="240" w:lineRule="auto"/>
              <w:jc w:val="left"/>
              <w:rPr>
                <w:rFonts w:eastAsia="Times New Roman" w:cs="Segoe UI"/>
                <w:i/>
                <w:iCs/>
                <w:color w:val="181717"/>
                <w:sz w:val="20"/>
                <w:szCs w:val="20"/>
                <w:lang w:val="en-US"/>
              </w:rPr>
            </w:pPr>
            <w:r w:rsidRPr="001E0508">
              <w:rPr>
                <w:rFonts w:eastAsia="Times New Roman" w:cs="Segoe UI"/>
                <w:i/>
                <w:iCs/>
                <w:color w:val="181717"/>
                <w:sz w:val="20"/>
                <w:szCs w:val="20"/>
                <w:lang w:val="en-US"/>
              </w:rPr>
              <w:t xml:space="preserve">fraud, alternative indictment, judicial consideration, sentencing, criminal court decision, deterrent effect</w:t>
            </w:r>
          </w:p>
          <w:p w14:paraId="440C95CD" w14:textId="77777777" w:rsidR="001E0508" w:rsidRPr="00332E82" w:rsidRDefault="001E0508" w:rsidP="00417363">
            <w:pPr>
              <w:spacing w:after="0" w:line="240" w:lineRule="auto"/>
              <w:rPr>
                <w:rFonts w:eastAsia="Times New Roman" w:cs="Segoe UI"/>
                <w:b/>
                <w:iCs/>
                <w:color w:val="181717"/>
                <w:sz w:val="20"/>
                <w:szCs w:val="20"/>
                <w:lang w:val="en-US"/>
              </w:rPr>
            </w:pPr>
          </w:p>
          <w:p w14:paraId="495B6352" w14:textId="77777777" w:rsidR="00241D17" w:rsidRPr="00C676AF" w:rsidRDefault="00241D17" w:rsidP="00417363">
            <w:pPr>
              <w:spacing w:after="0" w:line="240" w:lineRule="auto"/>
              <w:rPr>
                <w:rFonts w:eastAsia="Times New Roman" w:cs="Segoe UI"/>
                <w:b/>
                <w:iCs/>
                <w:color w:val="181717"/>
                <w:sz w:val="20"/>
                <w:szCs w:val="20"/>
              </w:rPr>
            </w:pPr>
            <w:r w:rsidRPr="00C676AF">
              <w:rPr>
                <w:rFonts w:eastAsia="Times New Roman" w:cs="Segoe UI"/>
                <w:b/>
                <w:iCs/>
                <w:color w:val="181717"/>
                <w:sz w:val="20"/>
                <w:szCs w:val="20"/>
              </w:rPr>
              <w:t xml:space="preserve">Kata Kunci:</w:t>
            </w:r>
          </w:p>
          <w:p w14:paraId="33F6629F" w14:textId="300E20A2" w:rsidR="00241D17" w:rsidRPr="00C676AF" w:rsidRDefault="001E0508" w:rsidP="00886EB8">
            <w:pPr>
              <w:spacing w:after="0" w:line="240" w:lineRule="auto"/>
              <w:jc w:val="left"/>
              <w:rPr>
                <w:rFonts w:eastAsia="Times New Roman" w:cs="Segoe UI"/>
                <w:i/>
                <w:color w:val="181717"/>
                <w:sz w:val="20"/>
                <w:szCs w:val="20"/>
              </w:rPr>
            </w:pPr>
            <w:r w:rsidRPr="006F20C0">
              <w:rPr>
                <w:rFonts w:eastAsia="Times New Roman" w:cs="Segoe UI"/>
                <w:iCs/>
                <w:color w:val="181717"/>
                <w:sz w:val="20"/>
                <w:szCs w:val="20"/>
                <w:lang w:val="fi-FI"/>
              </w:rPr>
              <w:t xml:space="preserve">penipuan, dakwaan alternatif, pertimbangan hakim, pemidanaan, putusan pengadilan, efek jera</w:t>
            </w:r>
          </w:p>
        </w:tc>
        <w:tc>
          <w:tcPr>
            <w:tcW w:w="3829" w:type="pct"/>
            <w:tcBorders>
              <w:top w:val="single" w:sz="4" w:space="0" w:color="auto"/>
              <w:bottom w:val="single" w:sz="4" w:space="0" w:color="auto"/>
            </w:tcBorders>
          </w:tcPr>
          <w:p w14:paraId="55BC0D0E" w14:textId="48443D05" w:rsidR="00147D80" w:rsidRDefault="00241D17" w:rsidP="001E0508">
            <w:pPr>
              <w:spacing w:after="0" w:line="240" w:lineRule="auto"/>
              <w:rPr>
                <w:rStyle w:val="Strong"/>
                <w:rFonts w:cs="Segoe UI"/>
                <w:b w:val="0"/>
                <w:bCs w:val="0"/>
                <w:i/>
                <w:iCs/>
                <w:color w:val="000000"/>
                <w:sz w:val="20"/>
                <w:szCs w:val="20"/>
                <w:shd w:val="clear" w:color="auto" w:fill="FFFFFF"/>
              </w:rPr>
            </w:pPr>
            <w:r w:rsidRPr="00C676AF">
              <w:rPr>
                <w:b/>
                <w:bCs/>
                <w:rFonts w:eastAsia="Times New Roman" w:cs="Segoe UI"/>
                <w:i/>
                <w:iCs/>
                <w:sz w:val="20"/>
                <w:szCs w:val="20"/>
              </w:rPr>
              <w:t xml:space="preserve">Abstract: </w:t>
            </w:r>
            <w:r w:rsidRPr="00C676AF">
              <w:rPr>
                <w:rFonts w:cs="Segoe UI"/>
                <w:i/>
                <w:iCs/>
                <w:sz w:val="20"/>
                <w:szCs w:val="20"/>
              </w:rPr>
              <w:t xml:space="preserve">Fraud committed under the pretext of arranging admission to the civil service persists in Indonesian society and raises two recurring legal questions: the accuracy of the prosecutor's choice of indictment form and the adequacy of the sentence imposed. This study analyses the Public Prosecutor's indictment and the judge's legal considerations in Makassar District Court Decision Number 771/Pid.B/2025/PN.Mks, in which the defendant obtained IDR 420,000,000 from two victims by falsely claiming the ability to secure their children's admission as civil servant candidates at the Ministry of Law and Human Rights. The research is normative legal research using a legal case study approach, analysed descriptively and qualitatively through the theory of legal purposes and the theory of punishment. The findings show that the alternative form of indictment, charging Article 378 and Article 372 of the Criminal Code, was appropriate because the two offences are distinguished by the moment at which the unlawful intent arises, and that the judge correctly selected the first alternative after examining each element. However, the three-year sentence imposed, against a statutory maximum of four years and in the presence of recidivism and substantial loss, is argued to be disproportionate and insufficient to produce a deterrent effect.</w:t>
            </w:r>
          </w:p>
          <w:p w14:paraId="5CE97357" w14:textId="16546BC6" w:rsidR="00147D80" w:rsidRDefault="00241D17" w:rsidP="001E0508">
            <w:pPr>
              <w:spacing w:after="0" w:line="240" w:lineRule="auto"/>
              <w:rPr>
                <w:rStyle w:val="Strong"/>
                <w:rFonts w:cs="Segoe UI"/>
                <w:b w:val="0"/>
                <w:bCs w:val="0"/>
                <w:color w:val="000000"/>
                <w:sz w:val="21"/>
                <w:szCs w:val="21"/>
                <w:shd w:val="clear" w:color="auto" w:fill="FFFFFF"/>
              </w:rPr>
            </w:pPr>
            <w:r w:rsidRPr="00C676AF">
              <w:rPr>
                <w:b/>
                <w:bCs/>
                <w:rFonts w:eastAsia="Times New Roman" w:cs="Segoe UI"/>
                <w:iCs/>
                <w:sz w:val="20"/>
                <w:szCs w:val="20"/>
              </w:rPr>
              <w:t xml:space="preserve">Abstrak: </w:t>
            </w:r>
            <w:r w:rsidRPr="00C676AF">
              <w:rPr>
                <w:rFonts w:eastAsia="Times New Roman" w:cs="Segoe UI"/>
                <w:iCs/>
                <w:sz w:val="20"/>
                <w:szCs w:val="20"/>
              </w:rPr>
              <w:t xml:space="preserve">Penipuan berkedok pengurusan kelulusan calon pegawai negeri sipil masih terus terjadi dan memunculkan dua persoalan hukum yang berulang, yaitu ketepatan pemilihan bentuk surat dakwaan oleh penuntut umum dan kelayakan pidana yang dijatuhkan. Penelitian ini menganalisis dakwaan Jaksa Penuntut Umum dan pertimbangan hukum hakim dalam Putusan Pengadilan Negeri Makassar Nomor 771/Pid.B/2025/PN.Mks, yaitu perkara ketika terdakwa memperoleh uang Rp420.000.000 dari dua korban dengan mengaku mampu meluluskan anak mereka sebagai calon pegawai negeri sipil pada Kementerian Hukum dan Hak Asasi Manusia. Penelitian merupakan penelitian hukum normatif dengan pendekatan studi kasus hukum yang dianalisis secara deskriptif-kualitatif melalui teori tujuan hukum dan teori pemidanaan. Hasil penelitian menunjukkan bahwa bentuk dakwaan alternatif dengan mendakwakan Pasal 378 dan Pasal 372 KUHP sudah tepat karena kedua delik dibedakan oleh saat timbulnya maksud melawan hukum, dan hakim telah tepat memilih dakwaan alternatif kesatu setelah menguji unsur demi unsur. Namun pidana penjara tiga tahun yang dijatuhkan, terhadap ancaman maksimum empat tahun serta adanya pengulangan dan kerugian yang besar, dinilai tidak proporsional dan belum menimbulkan efek jera.</w:t>
            </w:r>
          </w:p>
        </w:tc>
      </w:tr>
      <w:tr w:rsidR="00241D17" w:rsidRPr="00C676AF" w14:paraId="72CB6547" w14:textId="77777777" w:rsidTr="00550BFE">
        <w:trPr>
          <w:trHeight w:val="161"/>
        </w:trPr>
        <w:tc>
          <w:tcPr>
            <w:tcW w:w="5000" w:type="pct"/>
            <w:gridSpan w:val="2"/>
            <w:tcBorders>
              <w:top w:val="single" w:sz="4" w:space="0" w:color="auto"/>
              <w:bottom w:val="single" w:sz="4" w:space="0" w:color="auto"/>
            </w:tcBorders>
          </w:tcPr>
          <w:p w14:paraId="0E1C67EB" w14:textId="6C572104" w:rsidR="00550BFE" w:rsidRPr="006F20C0" w:rsidRDefault="00241D17" w:rsidP="00732CD5">
            <w:pPr>
              <w:spacing w:after="0" w:line="240" w:lineRule="auto"/>
              <w:rPr>
                <w:rFonts w:cs="Segoe UI"/>
                <w:sz w:val="20"/>
                <w:szCs w:val="20"/>
              </w:rPr>
            </w:pPr>
            <w:r w:rsidRPr="00C676AF">
              <w:rPr>
                <w:rFonts w:cs="Segoe UI"/>
                <w:b/>
                <w:sz w:val="20"/>
                <w:szCs w:val="20"/>
              </w:rPr>
              <w:t xml:space="preserve">Informasi Artikel:  Diterima: (diisi panitia), Disetujui: (diisi panitia), Dipublikasikan: (diisi panitia)</w:t>
            </w:r>
          </w:p>
        </w:tc>
      </w:tr>
    </w:tbl>
    <w:p w14:paraId="505D0FCD" w14:textId="7878117F"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2"/>
          <w:footerReference w:type="default" r:id="rId13"/>
          <w:headerReference w:type="first" r:id="rId14"/>
          <w:type w:val="continuous"/>
          <w:pgSz w:w="11906" w:h="16838" w:code="9"/>
          <w:pgMar w:top="1440" w:right="1440" w:bottom="1440" w:left="1440" w:header="709" w:footer="709" w:gutter="0"/>
          <w:cols w:space="708"/>
          <w:titlePg/>
          <w:docGrid w:linePitch="360"/>
        </w:sectPr>
      </w:pPr>
    </w:p>
    <w:p w14:paraId="3EFD5847" w14:textId="02FC486E" w:rsidR="001E0508" w:rsidRPr="001E0508" w:rsidRDefault="00E02EE7" w:rsidP="00E02EE7">
      <w:pPr>
        <w:pStyle w:val="Heading3"/>
        <w:ind w:firstLine="66"/>
      </w:pPr>
      <w:r w:rsidRPr="001E0508">
        <w:t>PENDAHULUAN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Tindak pidana penipuan merupakan salah satu bentuk kejahatan yang paling bertahan lama dalam kehidupan masyarakat karena tidak menuntut sarana khusus. Pelaku cukup bermodalkan kemampuan berkomunikasi untuk meyakinkan orang lain melalui serangkaian kata bohong, janji, atau iming-iming, baik terhadap sesuatu yang bersifat magis maupun terhadap harta kekayaan. Perkembangan teknologi informasi dan bertambahnya kompleksitas peraturan justru mendorong pelaku menjadi semakin kreatif, karena tidak sedikit yang beranggapan bahwa penerapan aturan hukum kadang tidak sepadan dengan perbuatan yang dilakukan. Dipandang dari sudut manapun perbuatan tersebut sangat tercela, sebab menimbulkan rasa saling tidak percaya dan merusak tata kehidupan masyarakat.</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Dalam konteks hukum positif, penipuan diatur dalam Pasal 378 Kitab Undang-Undang Hukum Pidana yang mengancam pidana penjara paling lama empat tahun terhadap barang siapa yang dengan maksud menguntungkan diri sendiri atau orang lain secara melawan hukum, dengan memakai nama palsu atau martabat palsu, dengan tipu muslihat ataupun rangkaian kebohongan, menggerakkan orang lain untuk menyerahkan barang sesuatu kepadanya atau supaya memberi utang maupun menghapuskan piutang. Ketentuan tersebut kerap berimpitan dengan Pasal 372 Kitab Undang-Undang Hukum Pidana mengenai penggelapan, yang mengancam pidana yang sama terhadap penguasaan secara melawan hukum atas barang milik orang lain yang berada pada pelaku bukan karena kejahatan.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Penelitian ini mengambil objek Putusan Pengadilan Negeri Makassar Nomor 771/Pid.B/2025/PN.Mks yang telah memperoleh kekuatan hukum tetap. Perkara tersebut bermula ketika terdakwa bertemu dengan dua orang yang berkeinginan memasukkan anak mereka sebagai calon pegawai negeri sipil pada Kementerian Hukum dan Hak Asasi Manusia. Terdakwa menyatakan mampu mengurus kelulusan melalui jalur optimalisasi, bahkan berpura-pura menghubungi pihak yang disebutnya memiliki akses jalur khusus, padahal terdakwa mengetahui dirinya tidak memiliki kewenangan maupun kemampuan untuk itu. Uang yang diserahkan kedua korban seluruhnya berjumlah Rp420.000.000,00, sementara kedua peserta seleksi telah dinyatakan tidak lulus pada tahap Seleksi Kompetensi Dasar tahun 2021.</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Dua masalah hukum muncul dari perkara tersebut. Pertama, ketepatan pilihan bentuk surat dakwaan, mengingat penuntut umum menyusun dakwaan alternatif dengan mendakwakan Pasal 378 dan Pasal 372 Kitab Undang-Undang Hukum Pidana. Persoalan ini penting karena aparat penegak hukum dituntut teliti dalam menentukan apakah suatu perbuatan tergolong penipuan, penggelapan, atau justru merupakan wanprestasi dalam ranah keperdataan, agar tidak terjadi kesalahan penerapan hukum. Kedua, ketepatan pertimbangan hukum hakim serta proporsionalitas pidana yang dijatuhkan, mengingat hakim menjatuhkan pidana penjara tiga tahun terhadap ancaman maksimum empat tahun.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Kajian mengenai delik penipuan dan pertimbangan hakim telah banyak dilakukan. Bastari (2011) melakukan analisis yuridis terhadap delik penipuan, Chazawi (2001) dan Lamintang (1997) meletakkan dasar doktrinal mengenai unsur-unsur tindak pidana, sedangkan Mulyadi (2007) mengkaji putusan hakim dalam hukum acara pidana dari sisi teori, praktik, dan teknik penyusunannya. Pada tataran pemidanaan, Waluyo (2008) dan Suparni (2007) menyoroti persoalan pidana dan pemidanaan, termasuk eksistensi pidana denda dalam sistem pemidanaan Indonesia.</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Berbeda dengan penelitian-penelitian tersebut yang umumnya berhenti pada telaah doktrinal atas unsur delik atau pada telaah umum mengenai putusan hakim, penelitian ini menempatkan dua persoalan tersebut dalam satu rangkaian penalaran pada satu perkara konkret, yaitu dari pilihan bentuk dakwaan sampai pada berat ringannya pidana. Objek perkaranya pun memiliki kekhususan, karena penipuan dilakukan dengan memanfaatkan kepercayaan masyarakat terhadap proses seleksi aparatur sipil negara, sehingga kerugian yang timbul tidak hanya bersifat material bagi korban tetapi juga menyentuh kepercayaan publik terhadap rekrutmen jabatan publik.</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Penelitian ini menempatkan diri pada celah tersebut dengan memberikan penilaian kritis yang tidak berhenti pada pernyataan bahwa dakwaan dan pertimbangan hakim telah tepat. Penilaian dilanjutkan pada tingkat proporsionalitas pemidanaan dengan menghubungkan keadaan yang memberatkan, yaitu kerugian korban dan status terdakwa yang sudah pernah dihukum, dengan tujuan pemidanaan sebagaimana dikembangkan dalam teori pemidanaan. Analisis juga menempatkan perkara ini dalam konteks berlakunya Undang-Undang Nomor 1 Tahun 2023 tentang Kitab Undang-Undang Hukum Pidana sejak Januari 2026, yang mengubah lanskap penerapan hukum pidana materiil bagi perkara sejenis di masa mendatang.</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Tujuan penelitian ini adalah untuk mengetahui dan menganalisis dakwaan Jaksa Penuntut Umum dalam tindak pidana penipuan berdasarkan Putusan Pengadilan Negeri Makassar Nomor 771/Pid.B/2025/PN.Mks, serta untuk mengetahui dan menganalisis pertimbangan hukum hakim dalam perkara tersebut.</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Kontribusi teoretis penelitian ini terletak pada penajaman kriteria pembedaan antara penipuan dan penggelapan melalui saat timbulnya maksud melawan hukum, yang sekaligus menjelaskan mengapa dakwaan alternatif merupakan pilihan yang tepat pada perkara semacam ini. Secara praktis, penelitian ini memberikan masukan bagi penuntut umum dalam menyusun surat dakwaan pada perkara yang berimpitan antara penipuan dan penggelapan, bagi hakim dalam merumuskan pertimbangan pemidanaan yang proporsional, serta bagi masyarakat mengenai pentingnya kewaspadaan terhadap tawaran pengurusan kelulusan seleksi aparatur sipil negara.</w:t>
      </w:r>
    </w:p>
    <w:p w14:paraId="1382B788" w14:textId="468BF956" w:rsidR="001E0508" w:rsidRPr="001C62FB" w:rsidRDefault="001C62FB" w:rsidP="00955050">
      <w:pPr>
        <w:pStyle w:val="Heading3"/>
        <w:ind w:left="1134" w:right="322" w:hanging="425"/>
      </w:pPr>
      <w:r w:rsidRPr="001C62FB">
        <w:t>METODOLOGI PENELITIAN</w:t>
      </w:r>
      <w:r w:rsidR="001E0508" w:rsidRPr="001C62FB">
        <w:t xml:space="preserve"> </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Bagian ini menguraikan jenis dan pendekatan penelitian, lokasi dan objek kajian, jenis dan sumber data, teknik pengumpulan data, teknik analisis, serta kerangka teoretik yang digunakan untuk menjawab kedua rumusan masalah.</w:t>
      </w:r>
    </w:p>
    <w:p w14:paraId="554F5361" w14:textId="5C7D14CE" w:rsidR="001C62FB" w:rsidRPr="00955050" w:rsidRDefault="001C62FB" w:rsidP="00955050">
      <w:pPr>
        <w:pStyle w:val="Heading2"/>
        <w:ind w:right="322"/>
        <w:rPr>
          <w:rStyle w:val="mediumtext"/>
        </w:rPr>
      </w:pPr>
      <w:r w:rsidRPr="00955050">
        <w:rPr>
          <w:rStyle w:val="mediumtext"/>
        </w:rPr>
        <w:t xml:space="preserve">2.1 Jenis dan Pendekatan Penelitian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Penelitian ini merupakan penelitian hukum normatif, yaitu penelitian hukum yang berfokus mengkaji putusan pengadilan terkait tindak pidana penipuan. Pendekatan yang digunakan adalah pendekatan studi kasus hukum yang bertujuan mengkaji dan menganalisis putusan hakim dalam perkara tindak pidana penipuan. Pendekatan ini dipilih karena permasalahan yang diteliti bertumpu pada satu peristiwa hukum konkret yang telah memperoleh kekuatan hukum tetap, sehingga penilaian atas ketepatan penerapan hukum dapat dilakukan terhadap keseluruhan rangkaian proses, mulai dari perumusan surat dakwaan sampai penjatuhan pidana.</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Pendekatan studi kasus tersebut ditopang penelaahan atas peraturan perundang-undangan yang menjadi kerangka normatif perkara, yaitu Kitab Undang-Undang Hukum Pidana khususnya Pasal 372 dan Pasal 378, Kitab Undang-Undang Hukum Acara Pidana khususnya Pasal 140 ayat (1) dan Pasal 143 ayat (2) mengenai syarat formal dan material surat dakwaan, serta Undang-Undang Nomor 48 Tahun 2009 tentang Kekuasaan Kehakiman khususnya Pasal 5 ayat (1) yang mewajibkan hakim menggali, mengikuti, dan memahami nilai-nilai hukum dan rasa keadilan yang hidup dalam masyarakat.</w:t>
      </w:r>
    </w:p>
    <w:p w14:paraId="554F5361" w14:textId="5C7D14CE" w:rsidR="001C62FB" w:rsidRPr="00955050" w:rsidRDefault="001C62FB" w:rsidP="00955050">
      <w:pPr>
        <w:pStyle w:val="Heading2"/>
        <w:ind w:right="322"/>
        <w:rPr>
          <w:rStyle w:val="mediumtext"/>
        </w:rPr>
      </w:pPr>
      <w:r w:rsidRPr="00955050">
        <w:rPr>
          <w:rStyle w:val="mediumtext"/>
        </w:rPr>
        <w:t xml:space="preserve">2.2 Lokasi Penelitian dan Objek Kajian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Penelitian dilaksanakan di Pengadilan Negeri Makassar dengan mengkaji putusan hakim dalam perkara tindak pidana penipuan. Objek kajian adalah Putusan Pengadilan Negeri Makassar Nomor 771/Pid.B/2025/PN.Mks, dengan unit analisis berupa surat dakwaan penuntut umum, konstruksi pertimbangan hukum majelis hakim atas unsur-unsur pasal yang didakwakan, keadaan yang memberatkan dan meringankan, serta amar putusan. Identitas terdakwa dan para saksi tidak diuraikan dalam artikel ini karena tidak diperlukan bagi penilaian yuridis atas penerapan hukum.</w:t>
      </w:r>
    </w:p>
    <w:p w14:paraId="554F5361" w14:textId="5C7D14CE" w:rsidR="001C62FB" w:rsidRPr="00955050" w:rsidRDefault="001C62FB" w:rsidP="00955050">
      <w:pPr>
        <w:pStyle w:val="Heading2"/>
        <w:ind w:right="322"/>
        <w:rPr>
          <w:rStyle w:val="mediumtext"/>
        </w:rPr>
      </w:pPr>
      <w:r w:rsidRPr="00955050">
        <w:rPr>
          <w:rStyle w:val="mediumtext"/>
        </w:rPr>
        <w:t xml:space="preserve">2.3 Jenis, Sumber Data, dan Teknik Pengumpulan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Data primer diperoleh dari lapangan melalui wawancara langsung dengan pihak terkait sehubungan dengan penelitian ini, sedangkan data sekunder diperoleh melalui studi kepustakaan berupa buku, peraturan perundang-undangan, dan dokumen lain yang berkaitan dengan tindak pidana penipuan. Pengumpulan data dilakukan melalui penelitian kepustakaan dengan mempelajari bahan pustaka, peraturan perundang-undangan, dan dokumen terkait, serta penelitian lapangan dengan mengadakan pengamatan langsung, mempelajari, dan menganalisis kasus yang berhubungan dengan penelitian ini, termasuk penelaahan salinan putusan beserta uraian alat bukti dan barang bukti yang terlampir di dalamnya.</w:t>
      </w:r>
    </w:p>
    <w:p w14:paraId="554F5361" w14:textId="5C7D14CE" w:rsidR="001C62FB" w:rsidRPr="00955050" w:rsidRDefault="001C62FB" w:rsidP="00955050">
      <w:pPr>
        <w:pStyle w:val="Heading2"/>
        <w:ind w:right="322"/>
        <w:rPr>
          <w:rStyle w:val="mediumtext"/>
        </w:rPr>
      </w:pPr>
      <w:r w:rsidRPr="00955050">
        <w:rPr>
          <w:rStyle w:val="mediumtext"/>
        </w:rPr>
        <w:t xml:space="preserve">2.4 Teknik Analisis Data</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Data yang diperoleh disusun, kemudian diuraikan dan dianalisis secara kualitatif serta dipaparkan secara deskriptif. Analisis dilakukan melalui tiga langkah. Pertama, menguraikan norma yang didakwakan beserta unsur-unsurnya dan doktrin yang menjelaskan setiap unsur tersebut. Kedua, menghadapkan fakta-fakta hukum yang terungkap di persidangan dengan setiap unsur tersebut untuk menilai terpenuhi atau tidaknya unsur. Ketiga, menilai konsistensi antara terpenuhinya unsur, keadaan yang memberatkan dan meringankan, dan berat ringannya pidana yang dijatuhkan dalam amar putusan.</w:t>
      </w:r>
    </w:p>
    <w:p w14:paraId="554F5361" w14:textId="5C7D14CE" w:rsidR="001C62FB" w:rsidRPr="00955050" w:rsidRDefault="001C62FB" w:rsidP="00955050">
      <w:pPr>
        <w:pStyle w:val="Heading2"/>
        <w:ind w:right="322"/>
        <w:rPr>
          <w:rStyle w:val="mediumtext"/>
        </w:rPr>
      </w:pPr>
      <w:r w:rsidRPr="00955050">
        <w:rPr>
          <w:rStyle w:val="mediumtext"/>
        </w:rPr>
        <w:t xml:space="preserve">2.5 Kerangka Analisis Teoretik</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Analisis bertumpu pada dua teori. Teori tujuan hukum digunakan untuk menilai putusan dari tiga nilai dasar, yaitu keadilan, kepastian hukum, dan kemanfaatan, yang ketiganya harus tercermin dalam pertimbangan hakim. Teori pemidanaan digunakan untuk menilai proporsionalitas pidana yang dijatuhkan, khususnya dengan menghubungkan tujuan pembalasan yang setimpal dan tujuan pencegahan, baik pencegahan khusus terhadap terdakwa maupun pencegahan umum terhadap masyarakat. Kedua teori dipakai secara operasional dalam pembahasan, bukan sebagai uraian teoretik yang berdiri sendiri.</w:t>
      </w:r>
    </w:p>
    <w:p w14:paraId="12B5585A" w14:textId="6E9841B4" w:rsidR="001E0508" w:rsidRPr="001C62FB" w:rsidRDefault="006F0069" w:rsidP="006F0069">
      <w:pPr>
        <w:pStyle w:val="Heading3"/>
        <w:ind w:left="1134" w:hanging="283"/>
      </w:pPr>
      <w:r w:rsidRPr="001C62FB">
        <w:rPr>
          <w:iCs/>
        </w:rPr>
        <w:t>HASIL DA</w:t>
      </w:r>
      <w:r w:rsidRPr="001C62FB">
        <w:t>N PEMBAHASAN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Hasil penelitian disajikan terpadu dengan pembahasan. Bagian 3.1 menjawab permasalahan pertama mengenai dakwaan Jaksa Penuntut Umum, khususnya ketepatan pilihan bentuk dakwaan alternatif. Bagian 3.2 menjawab permasalahan kedua mengenai pertimbangan hukum hakim, mulai dari pengujian unsur sampai penjatuhan pidana. Bagian 3.3 menarik implikasi keduanya ke dalam kerangka teori tujuan hukum dan teori pemidanaan.</w:t>
      </w:r>
    </w:p>
    <w:p w14:paraId="554F5361" w14:textId="5C7D14CE" w:rsidR="001C62FB" w:rsidRPr="00955050" w:rsidRDefault="001C62FB" w:rsidP="00955050">
      <w:pPr>
        <w:pStyle w:val="Heading2"/>
        <w:ind w:right="322"/>
        <w:rPr>
          <w:rStyle w:val="mediumtext"/>
        </w:rPr>
      </w:pPr>
      <w:r w:rsidRPr="00955050">
        <w:rPr>
          <w:rStyle w:val="mediumtext"/>
        </w:rPr>
        <w:t xml:space="preserve">3.1 Analisis Dakwaan Jaksa Penuntut Umum dalam Perkara Penipuan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Surat dakwaan merupakan dokumen yang memuat uraian mengenai tindak pidana yang didakwakan dan menjadi dasar bagi hakim untuk melakukan pemeriksaan di sidang pengadilan. Berdasarkan Pasal 140 ayat (1) Kitab Undang-Undang Hukum Acara Pidana, surat dakwaan disusun apabila penuntut umum berpendapat bahwa hasil penyidikan telah cukup untuk dilakukan penuntutan. Keabsahannya bergantung pada terpenuhinya syarat formal berdasarkan Pasal 143 ayat (2) huruf a, yaitu pencantuman tanggal, tanda tangan penuntut umum, dan identitas lengkap terdakwa, serta syarat material berdasarkan Pasal 143 ayat (2) huruf b, yaitu uraian secara cermat, jelas, dan lengkap mengenai tindak pidana yang didakwakan beserta waktu dan tempat dilakukannya.</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Penempatan kata cermat pada urutan pertama rumusan tersebut bukanlah kebetulan. Pembentuk undang-undang menghendaki penuntut umum bersikap korek dan teliti dalam mempersiapkan surat dakwaan, karena surat dakwaan yang tidak memenuhi syarat material berakibat batal demi hukum. Sejalan dengan itu, praktik peradilan menuntut dipenuhinya tiga syarat, yaitu rumusan yuridis berupa kutipan cermat dan lengkap atas unsur tindak pidana dari pasal yang didakwakan, rumusan perbuatan material berupa uraian konkret perbuatan terdakwa yang dianggap cocok dengan unsur tersebut, serta pencantuman angka pasal yang didakwakan. Dengan demikian, penilaian atas surat dakwaan tidak dapat dipisahkan dari penilaian atas kesesuaian antara konstruksi fakta dan konstruksi norma.</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Dalam perkara ini penuntut umum menyusun surat dakwaan berbentuk alternatif, yaitu dakwaan kesatu berupa perbuatan yang diatur dan diancam pidana dalam Pasal 378 Kitab Undang-Undang Hukum Pidana dan dakwaan kedua berupa perbuatan yang diatur dan diancam pidana dalam Pasal 372 Kitab Undang-Undang Hukum Pidana. Perbandingan kedua dakwaan tersebut disajikan pada Tabel 1. Bentuk alternatif dipilih ketika penuntut umum belum sepenuhnya yakin mengenai perbuatan mana yang akan terbukti di persidangan, atau ketika penuntut umum ragu mengenai peraturan hukum pidana mana yang akan diterapkan hakim atas perbuatan yang telah nyata. Ciri pokoknya adalah kedua dakwaan saling mengecualikan satu sama lain, sehingga hakim bebas menentukan dakwaan mana yang terbukti tanpa harus lebih dahulu memutus dakwaan yang lain.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Menurut analisis penulis, pilihan bentuk dakwaan alternatif dalam perkara ini sudah tepat. Ketepatan tersebut bukan semata karena adanya keraguan penuntut umum, melainkan karena secara doktrinal kedua delik memang berimpitan pada perkara dengan pola penyerahan uang secara bertahap. Perbedaan hakiki antara penipuan dan penggelapan terletak pada saat timbulnya maksud melawan hukum. Pada penipuan, maksud tersebut telah ada sebelum benda diserahkan, dan penyerahan itu sendiri terjadi karena tergeraknya kehendak korban oleh tipu muslihat atau rangkaian kebohongan. Pada penggelapan, benda telah berada dalam kekuasaan pelaku secara sah bukan karena kejahatan, dan maksud melawan hukum baru timbul kemudian.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Jika dikaitkan dengan fakta perkara, pembedaan tersebut menjadi menentukan. Uang diserahkan kedua korban dalam belasan tahap sejak Agustus 2021 sampai Agustus 2022, sehingga secara sepintas dapat muncul penafsiran bahwa penguasaan uang oleh terdakwa merupakan penguasaan yang semula sah berdasarkan kesepakatan pengurusan, yang kemudian disalahgunakan. Penafsiran demikian akan mengarahkan perkara pada Pasal 372. Namun konstruksi tersebut runtuh ketika diperhatikan bahwa sejak pertemuan pertama terdakwa telah mengetahui dirinya tidak memiliki kewenangan maupun kemampuan untuk meluluskan siapa pun, bahkan berpura-pura menghubungi pihak yang disebut memiliki akses jalur optimalisasi. Maksud melawan hukum dengan demikian telah ada sejak awal, sehingga seluruh penyerahan uang merupakan akibat dari rangkaian kebohongan, bukan penyalahgunaan kepercayaan yang timbul belakangan.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Temuan tersebut memperlihatkan bahwa dakwaan alternatif berfungsi sebagai pengaman terhadap risiko kesalahan kualifikasi. Andaikan penuntut umum menyusun dakwaan tunggal berdasarkan Pasal 378 dan majelis hakim menilai maksud melawan hukum baru timbul setelah uang diterima, terdakwa harus dibebaskan meskipun perbuatannya jelas bersifat pidana. Dari perspektif tujuan hukum, penyusunan dakwaan alternatif dalam perkara semacam ini justru menopang kepastian hukum dan kemanfaatan sekaligus, karena mencegah lolosnya pelaku semata-mata akibat kekeliruan penentuan kualifikasi pada tahap penuntutan. Perlu ditambahkan bahwa perbuatan ini juga harus dibedakan secara tegas dari wanprestasi, sebab ketiadaan kemampuan dan kewenangan yang telah diketahui sejak awal menempatkan perkara pada ranah pidana, bukan sekadar ingkar janji dalam hubungan keperdataan.</w:t>
      </w:r>
    </w:p>
    <w:p w14:paraId="7EF45635" w14:textId="0AF9A58F" w:rsidR="006F0069" w:rsidRPr="006F0069" w:rsidRDefault="006F0069" w:rsidP="006F0069">
      <w:pPr>
        <w:tabs>
          <w:tab w:val="left" w:pos="450"/>
        </w:tabs>
        <w:spacing w:before="100" w:beforeAutospacing="1" w:after="100" w:afterAutospacing="1"/>
        <w:contextualSpacing/>
        <w:jc w:val="center"/>
        <w:rPr>
          <w:rFonts w:eastAsia="Constantia" w:cs="Segoe UI"/>
          <w:sz w:val="20"/>
          <w:szCs w:val="20"/>
          <w:lang w:val="en-US"/>
        </w:rPr>
      </w:pPr>
      <w:r w:rsidRPr="006F0069">
        <w:rPr>
          <w:rFonts w:eastAsia="Constantia" w:cs="Segoe UI"/>
          <w:b/>
          <w:bCs/>
          <w:sz w:val="20"/>
          <w:szCs w:val="20"/>
          <w:lang w:val="en-US"/>
        </w:rPr>
        <w:t xml:space="preserve">Tabel 1. Perbandingan Dakwaan Alternatif dan Kesesuaiannya dengan Fakta Persidangan</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300"/>
        <w:gridCol w:w="1200"/>
        <w:gridCol w:w="2600"/>
        <w:gridCol w:w="2550"/>
      </w:tblGrid>
      <w:tr w:rsidR="006F0069" w:rsidRPr="006F0069" w14:paraId="5B2BAC62" w14:textId="77777777" w:rsidTr="006F0069">
        <w:trPr>
          <w:tblHeader/>
          <w:tblCellSpacing w:w="15" w:type="dxa"/>
          <w:jc w:val="center"/>
        </w:trPr>
        <w:tc>
          <w:tcPr>
            <w:tcW w:w="1300" w:type="dxa"/>
            <w:tcBorders>
              <w:top w:val="single" w:sz="4" w:space="0" w:color="auto"/>
              <w:bottom w:val="single" w:sz="4" w:space="0" w:color="auto"/>
            </w:tcBorders>
            <w:vAlign w:val="center"/>
            <w:hideMark/>
          </w:tcPr>
          <w:p w14:paraId="43136C39" w14:textId="77777777" w:rsidR="006F0069" w:rsidRPr="006F0069" w:rsidRDefault="006F0069" w:rsidP="00FF6A7A">
            <w:pPr>
              <w:tabs>
                <w:tab w:val="left" w:pos="450"/>
              </w:tabs>
              <w:spacing w:before="100" w:beforeAutospacing="1" w:after="100" w:afterAutospacing="1"/>
              <w:contextualSpacing/>
              <w:jc w:val="center"/>
              <w:rPr>
                <w:rFonts w:eastAsia="Constantia" w:cs="Segoe UI"/>
                <w:b/>
                <w:bCs/>
                <w:sz w:val="18"/>
                <w:szCs w:val="18"/>
                <w:lang w:val="en-US"/>
              </w:rPr>
            </w:pPr>
            <w:r w:rsidRPr="006F0069">
              <w:rPr>
                <w:b/>
                <w:bCs/>
                <w:rFonts w:eastAsia="Constantia" w:cs="Segoe UI"/>
                <w:sz w:val="18"/>
                <w:szCs w:val="18"/>
                <w:lang w:val="en-US"/>
              </w:rPr>
              <w:t xml:space="preserve">Dakwaan</w:t>
            </w:r>
          </w:p>
        </w:tc>
        <w:tc>
          <w:tcPr>
            <w:tcW w:w="1200" w:type="dxa"/>
            <w:tcBorders>
              <w:top w:val="single" w:sz="4" w:space="0" w:color="auto"/>
              <w:bottom w:val="single" w:sz="4" w:space="0" w:color="auto"/>
            </w:tcBorders>
            <w:vAlign w:val="center"/>
            <w:hideMark/>
          </w:tcPr>
          <w:p w14:paraId="43136C39" w14:textId="77777777" w:rsidR="006F0069" w:rsidRPr="006F0069" w:rsidRDefault="006F0069" w:rsidP="00FF6A7A">
            <w:pPr>
              <w:tabs>
                <w:tab w:val="left" w:pos="450"/>
              </w:tabs>
              <w:spacing w:before="100" w:beforeAutospacing="1" w:after="100" w:afterAutospacing="1"/>
              <w:contextualSpacing/>
              <w:jc w:val="center"/>
              <w:rPr>
                <w:rFonts w:eastAsia="Constantia" w:cs="Segoe UI"/>
                <w:b/>
                <w:bCs/>
                <w:sz w:val="18"/>
                <w:szCs w:val="18"/>
                <w:lang w:val="en-US"/>
              </w:rPr>
            </w:pPr>
            <w:r w:rsidRPr="006F0069">
              <w:rPr>
                <w:b/>
                <w:bCs/>
                <w:rFonts w:eastAsia="Constantia" w:cs="Segoe UI"/>
                <w:sz w:val="18"/>
                <w:szCs w:val="18"/>
                <w:lang w:val="en-US"/>
              </w:rPr>
              <w:t xml:space="preserve">Dasar Hukum</w:t>
            </w:r>
          </w:p>
        </w:tc>
        <w:tc>
          <w:tcPr>
            <w:tcW w:w="2600" w:type="dxa"/>
            <w:tcBorders>
              <w:top w:val="single" w:sz="4" w:space="0" w:color="auto"/>
              <w:bottom w:val="single" w:sz="4" w:space="0" w:color="auto"/>
            </w:tcBorders>
            <w:vAlign w:val="center"/>
            <w:hideMark/>
          </w:tcPr>
          <w:p w14:paraId="43136C39" w14:textId="77777777" w:rsidR="006F0069" w:rsidRPr="006F0069" w:rsidRDefault="006F0069" w:rsidP="00FF6A7A">
            <w:pPr>
              <w:tabs>
                <w:tab w:val="left" w:pos="450"/>
              </w:tabs>
              <w:spacing w:before="100" w:beforeAutospacing="1" w:after="100" w:afterAutospacing="1"/>
              <w:contextualSpacing/>
              <w:jc w:val="center"/>
              <w:rPr>
                <w:rFonts w:eastAsia="Constantia" w:cs="Segoe UI"/>
                <w:b/>
                <w:bCs/>
                <w:sz w:val="18"/>
                <w:szCs w:val="18"/>
                <w:lang w:val="en-US"/>
              </w:rPr>
            </w:pPr>
            <w:r w:rsidRPr="006F0069">
              <w:rPr>
                <w:b/>
                <w:bCs/>
                <w:rFonts w:eastAsia="Constantia" w:cs="Segoe UI"/>
                <w:sz w:val="18"/>
                <w:szCs w:val="18"/>
                <w:lang w:val="en-US"/>
              </w:rPr>
              <w:t xml:space="preserve">Unsur Pokok</w:t>
            </w:r>
          </w:p>
        </w:tc>
        <w:tc>
          <w:tcPr>
            <w:tcW w:w="2550" w:type="dxa"/>
            <w:tcBorders>
              <w:top w:val="single" w:sz="4" w:space="0" w:color="auto"/>
              <w:bottom w:val="single" w:sz="4" w:space="0" w:color="auto"/>
            </w:tcBorders>
            <w:vAlign w:val="center"/>
            <w:hideMark/>
          </w:tcPr>
          <w:p w14:paraId="43136C39" w14:textId="77777777" w:rsidR="006F0069" w:rsidRPr="006F0069" w:rsidRDefault="006F0069" w:rsidP="00FF6A7A">
            <w:pPr>
              <w:tabs>
                <w:tab w:val="left" w:pos="450"/>
              </w:tabs>
              <w:spacing w:before="100" w:beforeAutospacing="1" w:after="100" w:afterAutospacing="1"/>
              <w:contextualSpacing/>
              <w:jc w:val="center"/>
              <w:rPr>
                <w:rFonts w:eastAsia="Constantia" w:cs="Segoe UI"/>
                <w:b/>
                <w:bCs/>
                <w:sz w:val="18"/>
                <w:szCs w:val="18"/>
                <w:lang w:val="en-US"/>
              </w:rPr>
            </w:pPr>
            <w:r w:rsidRPr="006F0069">
              <w:rPr>
                <w:b/>
                <w:bCs/>
                <w:rFonts w:eastAsia="Constantia" w:cs="Segoe UI"/>
                <w:sz w:val="18"/>
                <w:szCs w:val="18"/>
                <w:lang w:val="en-US"/>
              </w:rPr>
              <w:t xml:space="preserve">Kesesuaian dengan Fakta Persidangan</w:t>
            </w:r>
          </w:p>
        </w:tc>
      </w:tr>
      <w:tr w:rsidR="006F0069" w:rsidRPr="006F0069" w14:paraId="204ACB03" w14:textId="77777777" w:rsidTr="006F0069">
        <w:trPr>
          <w:tblCellSpacing w:w="15" w:type="dxa"/>
          <w:jc w:val="center"/>
        </w:trPr>
        <w:tc>
          <w:tcPr>
            <w:tcW w:w="13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Alternatif kesatu</w:t>
            </w:r>
          </w:p>
        </w:tc>
        <w:tc>
          <w:tcPr>
            <w:tcW w:w="12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Pasal 378 KUHP</w:t>
            </w:r>
          </w:p>
        </w:tc>
        <w:tc>
          <w:tcPr>
            <w:tcW w:w="26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Maksud menguntungkan diri sendiri secara melawan hukum; nama palsu, sifat palsu, martabat palsu, tipu muslihat, atau rangkaian kebohongan; menggerakkan orang lain menyerahkan barang</w:t>
            </w:r>
          </w:p>
        </w:tc>
        <w:tc>
          <w:tcPr>
            <w:tcW w:w="255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Sesuai; maksud melawan hukum telah ada sebelum penyerahan uang dan penyerahan terjadi karena rangkaian kebohongan</w:t>
            </w:r>
          </w:p>
        </w:tc>
      </w:tr>
      <w:tr w:rsidR="006F0069" w:rsidRPr="006F0069" w14:paraId="204ACB03" w14:textId="77777777" w:rsidTr="006F0069">
        <w:trPr>
          <w:tblCellSpacing w:w="15" w:type="dxa"/>
          <w:jc w:val="center"/>
        </w:trPr>
        <w:tc>
          <w:tcPr>
            <w:tcW w:w="13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Alternatif kedua</w:t>
            </w:r>
          </w:p>
        </w:tc>
        <w:tc>
          <w:tcPr>
            <w:tcW w:w="12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Pasal 372 KUHP</w:t>
            </w:r>
          </w:p>
        </w:tc>
        <w:tc>
          <w:tcPr>
            <w:tcW w:w="26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Dengan sengaja dan melawan hukum memiliki barang milik orang lain yang ada padanya bukan karena kejahatan</w:t>
            </w:r>
          </w:p>
        </w:tc>
        <w:tc>
          <w:tcPr>
            <w:tcW w:w="255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Tidak sesuai; penguasaan uang sejak semula bersumber dari perbuatan menggerakkan korban, bukan dari hubungan kepercayaan yang sah</w:t>
            </w:r>
          </w:p>
        </w:tc>
      </w:tr>
    </w:tbl>
    <w:p w14:paraId="6608DF7B" w14:textId="160C2C3E" w:rsidR="001E0508" w:rsidRDefault="00985560" w:rsidP="001E0508">
      <w:pPr>
        <w:pStyle w:val="IEEEParagraph"/>
        <w:ind w:firstLine="567"/>
        <w:rPr>
          <w:rFonts w:ascii="Segoe UI" w:hAnsi="Segoe UI" w:cs="Segoe UI"/>
          <w:i/>
          <w:iCs/>
          <w:sz w:val="18"/>
          <w:szCs w:val="18"/>
          <w:lang w:val="sv-SE"/>
        </w:rPr>
      </w:pPr>
      <w:r>
        <w:rPr>
          <w:rFonts w:ascii="Segoe UI" w:hAnsi="Segoe UI" w:cs="Segoe UI"/>
          <w:i/>
          <w:iCs/>
          <w:sz w:val="18"/>
          <w:szCs w:val="18"/>
          <w:lang w:val="sv-SE"/>
        </w:rPr>
        <w:t xml:space="preserve">Sumber: Diolah dari Putusan Pengadilan Negeri Makassar Nomor 771/Pid.B/2025/PN.Mks (2026)</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
      </w:r>
    </w:p>
    <w:p w14:paraId="554F5361" w14:textId="5C7D14CE" w:rsidR="001C62FB" w:rsidRPr="00955050" w:rsidRDefault="001C62FB" w:rsidP="00955050">
      <w:pPr>
        <w:pStyle w:val="Heading2"/>
        <w:ind w:right="322"/>
        <w:rPr>
          <w:rStyle w:val="mediumtext"/>
        </w:rPr>
      </w:pPr>
      <w:r w:rsidRPr="00955050">
        <w:rPr>
          <w:rStyle w:val="mediumtext"/>
        </w:rPr>
        <w:t xml:space="preserve">3.2 Analisis Pertimbangan Hukum Hakim dan Proporsionalitas Pemidanaan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Pertimbangan hukum atau ratio decidendi merupakan alasan hukum dan dasar pemikiran hakim dalam memutus perkara, yang tertuang dalam konsideran menimbang dan bertitik tolak pada pendapat ahli, alat bukti, serta yurisprudensi yang disusun secara sistematis, logis, dan saling berhubungan. Pertimbangan hukum harus dituangkan sebagai analisis, argumentasi, pendapat, dan kesimpulan hakim, karena bagian inilah yang menentukan apakah suatu putusan mengandung keadilan, kepastian hukum, dan kemanfaatan bagi para pihak. Pertimbangan yang tidak teliti dan cermat membuka kemungkinan putusan dibatalkan pada tingkat pemeriksaan berikutnya.</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Dalam perkara ini majelis hakim mengarahkan pertimbangannya kepada dakwaan alternatif kesatu dan tidak mempertimbangkan dakwaan alternatif kedua. Pengujian dilakukan terhadap tiga unsur Pasal 378 Kitab Undang-Undang Hukum Pidana. Unsur barang siapa dinilai terpenuhi setelah identitas terdakwa diteliti dan bersesuaian dengan surat dakwaan sehingga tidak terdapat error in persona, terdakwa sehat jasmani dan rohani serta mampu menjawab seluruh pertanyaan, dan selama persidangan tidak ditemukan alasan pemaaf maupun alasan pembenar. Unsur dengan maksud menguntungkan diri sendiri atau orang lain secara melawan hukum diuji dengan bertolak pada pandangan Van Hattum, bahwa yang bersifat melawan hukum bukan hanya keuntungannya, melainkan juga cara memperoleh keuntungan tersebut apabila bertentangan dengan kepatutan dalam pergaulan masyarakat.</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Unsur ketiga diuji dengan merinci pengertian doktrinal setiap alternatif perbuatan. Sifat palsu dimaknai sebagai setiap ciri pribadi yang membuat orang yang menyerahkan benda menjadi lebih percaya bahwa pelaku berwenang meminta penyerahan benda tersebut. Tipu muslihat dimaknai sebagai tindakan yang menimbulkan kepercayaan atau memberikan kesan seolah-olah keadaannya sesuai dengan kebenaran. Rangkaian kebohongan dimaknai sebagai serangkaian kata yang terjalin sedemikian rupa sehingga kata yang satu seolah membenarkan kata yang lain, padahal seluruhnya tidak sesuai dengan kebenaran. Karena unsur ini bersifat alternatif, terpenuhinya salah satu bentuk perbuatan telah cukup tanpa perlu membuktikan bentuk yang lain.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Berdasarkan konstruksi hukum tersebut, pertimbangan majelis hakim yang mengarahkan pengujian pada dakwaan alternatif kesatu sudah tepat. Ketepatan itu terletak pada dua hal. Pertama, pemilihan dakwaan didasarkan pada alat bukti, barang bukti, dan fakta hukum selama persidangan, bukan pada pertimbangan di luar berkas. Kedua, majelis hakim tidak berhenti pada penyebutan unsur, melainkan lebih dahulu menguraikan makna doktrinal setiap unsur dan kemudian menghadapkannya dengan fakta persidangan. Pola penalaran demikian merupakan wujud kecermatan yang dituntut dari pertimbangan hukum, sekaligus memberikan kepastian hukum karena para pihak dapat menelusuri jalan pikiran hakim sampai pada kesimpulannya.</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Persoalan justru muncul pada tahap penjatuhan pidana. Majelis hakim menyatakan terdakwa terbukti secara sah dan meyakinkan bersalah melakukan tindak pidana penipuan dan menjatuhkan pidana penjara selama tiga tahun, sementara ancaman maksimum Pasal 378 Kitab Undang-Undang Hukum Pidana adalah empat tahun. Di sisi lain, keadaan yang memberatkan yang dipertimbangkan hakim meliputi perbuatan terdakwa yang menyebabkan saksi korban mengalami kerugian dan fakta bahwa terdakwa sudah pernah dihukum. Rekapitulasi kerugian yang diderita kedua korban disajikan pada Tabel 2, dengan jumlah keseluruhan mencapai Rp420.000.000,00.</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Menurut analisis penulis, pidana tiga tahun tersebut terlalu ringan dan tidak menimbulkan efek jera, baik bagi pelaku maupun bagi masyarakat pada umumnya. Argumentasi tersebut dapat dipahami karena dua keadaan memberatkan yang telah diakui sendiri oleh majelis hakim seharusnya mendorong pidana mendekati ancaman maksimum. Status terdakwa yang sudah pernah dihukum menunjukkan bahwa pemidanaan terdahulu gagal mencapai tujuan pencegahan khusus, sehingga pidana yang dijatuhkan kali ini semestinya lebih berat agar tujuan tersebut tercapai. Adapun besarnya kerugian yang mencapai Rp420.000.000,00 dari dua keluarga memperlihatkan bobot celaan yang tidak sepadan dengan pidana yang dijatuhkan.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Temuan tersebut memperlihatkan persoalan yang lebih mendasar, yaitu rendahnya ancaman pidana maksimum pada Pasal 378 Kitab Undang-Undang Hukum Pidana yang tidak membedakan bobot kerugian maupun jumlah korban. Ancaman empat tahun berlaku sama, baik terhadap penipuan bernilai kecil maupun terhadap penipuan yang menghabiskan tabungan beberapa keluarga. Perlu ditegaskan bahwa sejak Januari 2026 berlaku Undang-Undang Nomor 1 Tahun 2023 tentang Kitab Undang-Undang Hukum Pidana yang menggantikan kodifikasi lama. Karena perbuatan dalam perkara ini terjadi pada 2021 sampai 2022 dan diperiksa sebelum berlakunya kodifikasi baru, penerapan hukum pidana materiil tetap tunduk pada asas legalitas serta ketentuan hukum transitoir, sehingga ketentuan lama tetap dipergunakan sepanjang tidak terdapat perubahan yang lebih menguntungkan terdakwa. Bagi perkara sejenis di masa mendatang, kesesuaian antara bobot perbuatan dan ancaman pidana dalam kodifikasi baru menjadi persoalan yang perlu dicermati secara tersendiri.</w:t>
      </w:r>
    </w:p>
    <w:p w14:paraId="7EF45635" w14:textId="0AF9A58F" w:rsidR="006F0069" w:rsidRPr="006F0069" w:rsidRDefault="006F0069" w:rsidP="006F0069">
      <w:pPr>
        <w:tabs>
          <w:tab w:val="left" w:pos="450"/>
        </w:tabs>
        <w:spacing w:before="100" w:beforeAutospacing="1" w:after="100" w:afterAutospacing="1"/>
        <w:contextualSpacing/>
        <w:jc w:val="center"/>
        <w:rPr>
          <w:rFonts w:eastAsia="Constantia" w:cs="Segoe UI"/>
          <w:sz w:val="20"/>
          <w:szCs w:val="20"/>
          <w:lang w:val="en-US"/>
        </w:rPr>
      </w:pPr>
      <w:r w:rsidRPr="006F0069">
        <w:rPr>
          <w:rFonts w:eastAsia="Constantia" w:cs="Segoe UI"/>
          <w:b/>
          <w:bCs/>
          <w:sz w:val="20"/>
          <w:szCs w:val="20"/>
          <w:lang w:val="en-US"/>
        </w:rPr>
        <w:t xml:space="preserve">Tabel 2. Rekapitulasi Kerugian Korban dalam Putusan Nomor 771/Pid.B/2025/PN.Mks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500"/>
        <w:gridCol w:w="2000"/>
        <w:gridCol w:w="1700"/>
        <w:gridCol w:w="2450"/>
      </w:tblGrid>
      <w:tr w:rsidR="006F0069" w:rsidRPr="006F0069" w14:paraId="5B2BAC62" w14:textId="77777777" w:rsidTr="006F0069">
        <w:trPr>
          <w:tblHeader/>
          <w:tblCellSpacing w:w="15" w:type="dxa"/>
          <w:jc w:val="center"/>
        </w:trPr>
        <w:tc>
          <w:tcPr>
            <w:tcW w:w="1500" w:type="dxa"/>
            <w:tcBorders>
              <w:top w:val="single" w:sz="4" w:space="0" w:color="auto"/>
              <w:bottom w:val="single" w:sz="4" w:space="0" w:color="auto"/>
            </w:tcBorders>
            <w:vAlign w:val="center"/>
            <w:hideMark/>
          </w:tcPr>
          <w:p w14:paraId="43136C39" w14:textId="77777777" w:rsidR="006F0069" w:rsidRPr="006F0069" w:rsidRDefault="006F0069" w:rsidP="00FF6A7A">
            <w:pPr>
              <w:tabs>
                <w:tab w:val="left" w:pos="450"/>
              </w:tabs>
              <w:spacing w:before="100" w:beforeAutospacing="1" w:after="100" w:afterAutospacing="1"/>
              <w:contextualSpacing/>
              <w:jc w:val="center"/>
              <w:rPr>
                <w:rFonts w:eastAsia="Constantia" w:cs="Segoe UI"/>
                <w:b/>
                <w:bCs/>
                <w:sz w:val="18"/>
                <w:szCs w:val="18"/>
                <w:lang w:val="en-US"/>
              </w:rPr>
            </w:pPr>
            <w:r w:rsidRPr="006F0069">
              <w:rPr>
                <w:b/>
                <w:bCs/>
                <w:rFonts w:eastAsia="Constantia" w:cs="Segoe UI"/>
                <w:sz w:val="18"/>
                <w:szCs w:val="18"/>
                <w:lang w:val="en-US"/>
              </w:rPr>
              <w:t xml:space="preserve">Korban</w:t>
            </w:r>
          </w:p>
        </w:tc>
        <w:tc>
          <w:tcPr>
            <w:tcW w:w="2000" w:type="dxa"/>
            <w:tcBorders>
              <w:top w:val="single" w:sz="4" w:space="0" w:color="auto"/>
              <w:bottom w:val="single" w:sz="4" w:space="0" w:color="auto"/>
            </w:tcBorders>
            <w:vAlign w:val="center"/>
            <w:hideMark/>
          </w:tcPr>
          <w:p w14:paraId="43136C39" w14:textId="77777777" w:rsidR="006F0069" w:rsidRPr="006F0069" w:rsidRDefault="006F0069" w:rsidP="00FF6A7A">
            <w:pPr>
              <w:tabs>
                <w:tab w:val="left" w:pos="450"/>
              </w:tabs>
              <w:spacing w:before="100" w:beforeAutospacing="1" w:after="100" w:afterAutospacing="1"/>
              <w:contextualSpacing/>
              <w:jc w:val="center"/>
              <w:rPr>
                <w:rFonts w:eastAsia="Constantia" w:cs="Segoe UI"/>
                <w:b/>
                <w:bCs/>
                <w:sz w:val="18"/>
                <w:szCs w:val="18"/>
                <w:lang w:val="en-US"/>
              </w:rPr>
            </w:pPr>
            <w:r w:rsidRPr="006F0069">
              <w:rPr>
                <w:b/>
                <w:bCs/>
                <w:rFonts w:eastAsia="Constantia" w:cs="Segoe UI"/>
                <w:sz w:val="18"/>
                <w:szCs w:val="18"/>
                <w:lang w:val="en-US"/>
              </w:rPr>
              <w:t xml:space="preserve">Jumlah Penyerahan</w:t>
            </w:r>
          </w:p>
        </w:tc>
        <w:tc>
          <w:tcPr>
            <w:tcW w:w="1700" w:type="dxa"/>
            <w:tcBorders>
              <w:top w:val="single" w:sz="4" w:space="0" w:color="auto"/>
              <w:bottom w:val="single" w:sz="4" w:space="0" w:color="auto"/>
            </w:tcBorders>
            <w:vAlign w:val="center"/>
            <w:hideMark/>
          </w:tcPr>
          <w:p w14:paraId="43136C39" w14:textId="77777777" w:rsidR="006F0069" w:rsidRPr="006F0069" w:rsidRDefault="006F0069" w:rsidP="00FF6A7A">
            <w:pPr>
              <w:tabs>
                <w:tab w:val="left" w:pos="450"/>
              </w:tabs>
              <w:spacing w:before="100" w:beforeAutospacing="1" w:after="100" w:afterAutospacing="1"/>
              <w:contextualSpacing/>
              <w:jc w:val="center"/>
              <w:rPr>
                <w:rFonts w:eastAsia="Constantia" w:cs="Segoe UI"/>
                <w:b/>
                <w:bCs/>
                <w:sz w:val="18"/>
                <w:szCs w:val="18"/>
                <w:lang w:val="en-US"/>
              </w:rPr>
            </w:pPr>
            <w:r w:rsidRPr="006F0069">
              <w:rPr>
                <w:b/>
                <w:bCs/>
                <w:rFonts w:eastAsia="Constantia" w:cs="Segoe UI"/>
                <w:sz w:val="18"/>
                <w:szCs w:val="18"/>
                <w:lang w:val="en-US"/>
              </w:rPr>
              <w:t xml:space="preserve">Nilai Kerugian (Rp)</w:t>
            </w:r>
          </w:p>
        </w:tc>
        <w:tc>
          <w:tcPr>
            <w:tcW w:w="2450" w:type="dxa"/>
            <w:tcBorders>
              <w:top w:val="single" w:sz="4" w:space="0" w:color="auto"/>
              <w:bottom w:val="single" w:sz="4" w:space="0" w:color="auto"/>
            </w:tcBorders>
            <w:vAlign w:val="center"/>
            <w:hideMark/>
          </w:tcPr>
          <w:p w14:paraId="43136C39" w14:textId="77777777" w:rsidR="006F0069" w:rsidRPr="006F0069" w:rsidRDefault="006F0069" w:rsidP="00FF6A7A">
            <w:pPr>
              <w:tabs>
                <w:tab w:val="left" w:pos="450"/>
              </w:tabs>
              <w:spacing w:before="100" w:beforeAutospacing="1" w:after="100" w:afterAutospacing="1"/>
              <w:contextualSpacing/>
              <w:jc w:val="center"/>
              <w:rPr>
                <w:rFonts w:eastAsia="Constantia" w:cs="Segoe UI"/>
                <w:b/>
                <w:bCs/>
                <w:sz w:val="18"/>
                <w:szCs w:val="18"/>
                <w:lang w:val="en-US"/>
              </w:rPr>
            </w:pPr>
            <w:r w:rsidRPr="006F0069">
              <w:rPr>
                <w:b/>
                <w:bCs/>
                <w:rFonts w:eastAsia="Constantia" w:cs="Segoe UI"/>
                <w:sz w:val="18"/>
                <w:szCs w:val="18"/>
                <w:lang w:val="en-US"/>
              </w:rPr>
              <w:t xml:space="preserve">Rentang Waktu</w:t>
            </w:r>
          </w:p>
        </w:tc>
      </w:tr>
      <w:tr w:rsidR="006F0069" w:rsidRPr="006F0069" w14:paraId="204ACB03" w14:textId="77777777" w:rsidTr="006F0069">
        <w:trPr>
          <w:tblCellSpacing w:w="15" w:type="dxa"/>
          <w:jc w:val="center"/>
        </w:trPr>
        <w:tc>
          <w:tcPr>
            <w:tcW w:w="15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Saksi pertama</w:t>
            </w:r>
          </w:p>
        </w:tc>
        <w:tc>
          <w:tcPr>
            <w:tcW w:w="20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6 kali transfer</w:t>
            </w:r>
          </w:p>
        </w:tc>
        <w:tc>
          <w:tcPr>
            <w:tcW w:w="17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207.500.000</w:t>
            </w:r>
          </w:p>
        </w:tc>
        <w:tc>
          <w:tcPr>
            <w:tcW w:w="245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19 Oktober 2021 - 27 Agustus 2022</w:t>
            </w:r>
          </w:p>
        </w:tc>
      </w:tr>
      <w:tr w:rsidR="006F0069" w:rsidRPr="006F0069" w14:paraId="204ACB03" w14:textId="77777777" w:rsidTr="006F0069">
        <w:trPr>
          <w:tblCellSpacing w:w="15" w:type="dxa"/>
          <w:jc w:val="center"/>
        </w:trPr>
        <w:tc>
          <w:tcPr>
            <w:tcW w:w="15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Saksi kedua</w:t>
            </w:r>
          </w:p>
        </w:tc>
        <w:tc>
          <w:tcPr>
            <w:tcW w:w="20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1 kali tunai dan 6 kali transfer</w:t>
            </w:r>
          </w:p>
        </w:tc>
        <w:tc>
          <w:tcPr>
            <w:tcW w:w="17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212.500.000</w:t>
            </w:r>
          </w:p>
        </w:tc>
        <w:tc>
          <w:tcPr>
            <w:tcW w:w="245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26 Agustus 2021 - 14 Januari 2022</w:t>
            </w:r>
          </w:p>
        </w:tc>
      </w:tr>
      <w:tr w:rsidR="006F0069" w:rsidRPr="006F0069" w14:paraId="204ACB03" w14:textId="77777777" w:rsidTr="006F0069">
        <w:trPr>
          <w:tblCellSpacing w:w="15" w:type="dxa"/>
          <w:jc w:val="center"/>
        </w:trPr>
        <w:tc>
          <w:tcPr>
            <w:tcW w:w="15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Jumlah keseluruhan</w:t>
            </w:r>
          </w:p>
        </w:tc>
        <w:tc>
          <w:tcPr>
            <w:tcW w:w="20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13 kali penyerahan</w:t>
            </w:r>
          </w:p>
        </w:tc>
        <w:tc>
          <w:tcPr>
            <w:tcW w:w="17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420.000.000</w:t>
            </w:r>
          </w:p>
        </w:tc>
        <w:tc>
          <w:tcPr>
            <w:tcW w:w="245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Agustus 2021 - Agustus 2022</w:t>
            </w:r>
          </w:p>
        </w:tc>
      </w:tr>
    </w:tbl>
    <w:p w14:paraId="6608DF7B" w14:textId="160C2C3E" w:rsidR="001E0508" w:rsidRDefault="00985560" w:rsidP="001E0508">
      <w:pPr>
        <w:pStyle w:val="IEEEParagraph"/>
        <w:ind w:firstLine="567"/>
        <w:rPr>
          <w:rFonts w:ascii="Segoe UI" w:hAnsi="Segoe UI" w:cs="Segoe UI"/>
          <w:i/>
          <w:iCs/>
          <w:sz w:val="18"/>
          <w:szCs w:val="18"/>
          <w:lang w:val="sv-SE"/>
        </w:rPr>
      </w:pPr>
      <w:r>
        <w:rPr>
          <w:rFonts w:ascii="Segoe UI" w:hAnsi="Segoe UI" w:cs="Segoe UI"/>
          <w:i/>
          <w:iCs/>
          <w:sz w:val="18"/>
          <w:szCs w:val="18"/>
          <w:lang w:val="sv-SE"/>
        </w:rPr>
        <w:t xml:space="preserve">Sumber: Diolah dari Putusan Pengadilan Negeri Makassar Nomor 771/Pid.B/2025/PN.Mks (2026)</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
      </w:r>
    </w:p>
    <w:p w14:paraId="554F5361" w14:textId="5C7D14CE" w:rsidR="001C62FB" w:rsidRPr="00955050" w:rsidRDefault="001C62FB" w:rsidP="00955050">
      <w:pPr>
        <w:pStyle w:val="Heading2"/>
        <w:ind w:right="322"/>
        <w:rPr>
          <w:rStyle w:val="mediumtext"/>
        </w:rPr>
      </w:pPr>
      <w:r w:rsidRPr="00955050">
        <w:rPr>
          <w:rStyle w:val="mediumtext"/>
        </w:rPr>
        <w:t xml:space="preserve">3.3 Implikasi Teoretik dan Praktik</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Ditinjau melalui teori tujuan hukum, putusan dalam perkara ini menampilkan capaian yang tidak merata pada ketiga nilai dasar. Nilai kepastian hukum terpenuhi dengan baik, karena majelis hakim menguraikan makna setiap unsur, menghadapkannya dengan fakta persidangan, dan menyimpulkan secara runtut sehingga jalan pikiran putusan dapat ditelusuri. Nilai keadilan terpenuhi pada tataran penetapan kesalahan, karena terdakwa dinyatakan bersalah atas perbuatan yang memang terbukti dilakukannya. Namun nilai kemanfaatan belum sepenuhnya tercapai, sebab pidana yang dijatuhkan belum memberikan pesan pencegahan yang memadai kepada masyarakat, padahal penipuan berkedok pengurusan kelulusan seleksi aparatur sipil negara merupakan modus yang berulang.</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Dari perspektif teori pemidanaan, ketidakseimbangan tersebut menjadi lebih tajam. Apabila pemidanaan dipahami sebagai pembalasan yang setimpal, maka pidana tiga tahun tidak sebanding dengan kerugian Rp420.000.000,00 yang ditimbulkan terhadap dua keluarga. Apabila pemidanaan dipahami sebagai sarana pencegahan khusus, maka fakta bahwa terdakwa sudah pernah dihukum menunjukkan bahwa pidana ringan tidak berhasil menghentikan pengulangan. Apabila pemidanaan dipahami sebagai pencegahan umum, maka pidana di bawah ancaman maksimum berisiko dibaca masyarakat sebagai risiko yang masih sepadan dengan potensi keuntungan, sehingga justru melemahkan daya cegah norma. Hal tersebut menunjukkan bahwa ketiga fungsi pemidanaan sama-sama tidak terpenuhi secara optimal dalam putusan ini.</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Implikasi teoretisnya, ketepatan pertimbangan hukum pada tahap pembuktian tidak dengan sendirinya menghasilkan putusan yang tepat pada tahap pemidanaan. Kedua tahap tersebut menuntut penalaran yang berbeda: tahap pembuktian menuntut kecermatan menghadapkan fakta dengan unsur norma, sedangkan tahap pemidanaan menuntut penalaran proporsionalitas yang menghubungkan bobot perbuatan, keadaan yang memberatkan dan meringankan, serta tujuan pemidanaan. Implikasi praktisnya, majelis hakim perlu menguraikan secara eksplisit alasan pemilihan lama pidana, tidak cukup hanya menyebutkan keadaan yang memberatkan dan meringankan tanpa menjelaskan bagaimana keduanya diperbandingkan sampai menghasilkan angka tertentu, karena tanpa uraian itu proporsionalitas pemidanaan sulit diuji.</w:t>
      </w:r>
    </w:p>
    <w:p w14:paraId="17E3A12B" w14:textId="5E31EBBF" w:rsidR="001E0508" w:rsidRPr="00EA7E75" w:rsidRDefault="00985560" w:rsidP="00985560">
      <w:pPr>
        <w:pStyle w:val="Heading3"/>
        <w:ind w:left="993" w:hanging="426"/>
      </w:pPr>
      <w:r w:rsidRPr="00EA7E75">
        <w:t>KESIMPULAN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Dakwaan Jaksa Penuntut Umum dalam tindak pidana penipuan berdasarkan Putusan Pengadilan Negeri Makassar Nomor 771/Pid.B/2025/PN.Mks sudah disusun secara baik melalui dakwaan berbentuk alternatif, yaitu alternatif kesatu berupa perbuatan yang diancam pidana dalam Pasal 378 Kitab Undang-Undang Hukum Pidana dan alternatif kedua berupa perbuatan yang diatur dan diancam pidana dalam Pasal 372 Kitab Undang-Undang Hukum Pidana. Ketepatan bentuk tersebut bertumpu pada berimpitannya kedua delik dalam perkara dengan pola penyerahan uang bertahap, sedangkan pembeda hakikinya terletak pada saat timbulnya maksud melawan hukum. Karena terdakwa telah mengetahui ketiadaan kewenangan dan kemampuannya sejak pertemuan pertama, seluruh penyerahan uang merupakan akibat rangkaian kebohongan, sehingga dakwaan alternatif kesatu yang bersesuaian dengan fakta persidangan.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Pertimbangan hukum hakim dalam perkara tersebut sudah dilakukan dengan mempertimbangkan alat-alat bukti dan unsur-unsur dakwaan alternatif kesatu secara cermat, serta telah mempertimbangkan hal-hal yang memberatkan dan meringankan, sehingga disimpulkan terdakwa terbukti secara sah dan meyakinkan bersalah melakukan tindak pidana penipuan. Kecermatan tersebut tampak dari diuraikannya makna doktrinal setiap unsur sebelum dihadapkan dengan fakta persidangan. Namun pidana penjara tiga tahun yang dijatuhkan, terhadap ancaman maksimum empat tahun serta adanya dua keadaan memberatkan berupa kerugian korban sebesar Rp420.000.000,00 dan status terdakwa yang sudah pernah dihukum, dinilai terlalu ringan dan belum menimbulkan efek jera baik bagi pelaku maupun bagi masyarakat pada umumnya.</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Berdasarkan temuan tersebut, disarankan agar aparat penegak hukum tidak henti-hentinya melakukan sosialisasi mengenai bahaya tindak pidana penipuan dalam pergaulan hidup sehari-hari, khususnya modus pengurusan kelulusan seleksi aparatur sipil negara yang memanfaatkan kepercayaan masyarakat terhadap proses rekrutmen jabatan publik. Selain itu, disarankan agar hakim dalam perkara penipuan dengan kerugian besar dan pelaku yang telah pernah dihukum menerapkan sanksi yang mendekati ancaman maksimum serta menguraikan secara eksplisit penalaran proporsionalitas yang mendasari lamanya pidana, sehingga putusan tidak hanya memenuhi kepastian hukum tetapi juga keadilan dan kemanfaatan. Penelitian selanjutnya disarankan menguji konsistensi berat ringannya pidana pada perkara penipuan sejenis setelah berlakunya Undang-Undang Nomor 1 Tahun 2023 tentang Kitab Undang-Undang Hukum Pidana.</w:t>
      </w:r>
    </w:p>
    <w:p w14:paraId="310B877E"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r w:rsidRPr="00EA7E75">
        <w:rPr>
          <w:rFonts w:ascii="Segoe UI" w:hAnsi="Segoe UI" w:cs="Segoe UI"/>
          <w:b/>
          <w:bCs/>
          <w:sz w:val="24"/>
          <w:lang w:val="sv-SE"/>
        </w:rPr>
        <w:t>Referensi</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Ali, M. (2011). Dasar-dasar hukum pidana. Sinar Grafika.</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Bastari, B. (2011). Analisis yuridis terhadap delik penipuan. Makassar.</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Chazawi, A. (2001). Pelajaran hukum pidana I. PT Raja Grafindo Persada.</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Effendi, E. (2011). Hukum pidana Indonesia: Suatu pengantar. Refika Aditama.</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Hamzah, A. (2010). Delik-delik tertentu (speciale delicten) di dalam KUHP. Sinar Grafika.</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Harahap, M. Y. (1985). Pembahasan permasalahan dan penerapan KUHAP (Jilid I). PT Sarana Bakti Semesta.</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Lamintang, P. A. F. (1997). Dasar-dasar hukum pidana Indonesia. PT Citra Aditya Bakti.</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Manan, B. (2012). Putusan yang berkualitas. Jurnal Mimbar Hukum Mahkamah Agung RI, 23(2).</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Marpaung, L. (2005). Asas-teori-praktik hukum pidana. Sinar Grafika.</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Mulyadi, L. (2007). Putusan hakim dalam hukum acara pidana: Teori, praktik, teknik penyusunan, dan permasalahannya. Citra Aditya Bakti.</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Mulyadi, L. (2009). Pergeseran perspektif dan praktek dari Mahkamah Agung mengenai putusan. Citra Aditya Bakti.</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Prasetyo, T. (2011). Hukum pidana (Edisi revisi). PT Raja Grafindo Persada.</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Sofyan, A. (2014). Hukum acara pidana: Suatu pengantar. Kencana.</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Suparni, N. (2007). Eksistensi pidana denda dalam sistem pemidanaan. Sinar Grafika.</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Waluyo, B. (2008). Pidana dan pemidanaan. Sinar Grafika.</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Kitab Undang-Undang Hukum Pidana.</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Kitab Undang-Undang Hukum Acara Pidana (Undang-Undang Nomor 8 Tahun 1981).</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Undang-Undang Nomor 48 Tahun 2009 tentang Kekuasaan Kehakiman.</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Undang-Undang Nomor 1 Tahun 2023 tentang Kitab Undang-Undang Hukum Pidana.</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Putusan Pengadilan Negeri Makassar Nomor 771/Pid.B/2025/PN.Mks.</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Putusan Mahkamah Agung Republik Indonesia Nomor 1398/K/Pid/1994.</w:t>
      </w:r>
    </w:p>
    <w:sectPr w:rsidR="003A4408" w:rsidRPr="003A4408"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F5A0F" w14:textId="77777777" w:rsidR="007B39CF" w:rsidRDefault="007B39CF" w:rsidP="009B0AF6">
      <w:pPr>
        <w:spacing w:after="0" w:line="240" w:lineRule="auto"/>
      </w:pPr>
      <w:r>
        <w:separator/>
      </w:r>
    </w:p>
  </w:endnote>
  <w:endnote w:type="continuationSeparator" w:id="0">
    <w:p w14:paraId="018179EC" w14:textId="77777777" w:rsidR="007B39CF" w:rsidRDefault="007B39CF"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77CDAE4" w14:textId="2CC26036"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Dimas Saputra</w:t>
        </w:r>
      </w:p>
      <w:p w14:paraId="0CF919DE" w14:textId="5F133840"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F0FEE" w14:textId="77777777" w:rsidR="007B39CF" w:rsidRDefault="007B39CF" w:rsidP="009B0AF6">
      <w:pPr>
        <w:spacing w:after="0" w:line="240" w:lineRule="auto"/>
      </w:pPr>
      <w:r>
        <w:separator/>
      </w:r>
    </w:p>
  </w:footnote>
  <w:footnote w:type="continuationSeparator" w:id="0">
    <w:p w14:paraId="15167E39" w14:textId="77777777" w:rsidR="007B39CF" w:rsidRDefault="007B39CF"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C4B0" w14:textId="7C2A82EB"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257B" w14:textId="40673AD6"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65A9"/>
    <w:rsid w:val="00491740"/>
    <w:rsid w:val="004B7C52"/>
    <w:rsid w:val="00521D13"/>
    <w:rsid w:val="005362BB"/>
    <w:rsid w:val="00550BFE"/>
    <w:rsid w:val="00581638"/>
    <w:rsid w:val="00587FB4"/>
    <w:rsid w:val="0059044B"/>
    <w:rsid w:val="005B7859"/>
    <w:rsid w:val="005C6A72"/>
    <w:rsid w:val="005D710E"/>
    <w:rsid w:val="005E1485"/>
    <w:rsid w:val="00613274"/>
    <w:rsid w:val="006269EE"/>
    <w:rsid w:val="00633241"/>
    <w:rsid w:val="006658E1"/>
    <w:rsid w:val="00676A1B"/>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86EB8"/>
    <w:rsid w:val="00891C46"/>
    <w:rsid w:val="008A53F7"/>
    <w:rsid w:val="008B13FE"/>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4841"/>
    <w:rsid w:val="00B34CDD"/>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E02EE7"/>
    <w:rsid w:val="00E05BB1"/>
    <w:rsid w:val="00E109A4"/>
    <w:rsid w:val="00E3722F"/>
    <w:rsid w:val="00E37C1B"/>
    <w:rsid w:val="00E538A0"/>
    <w:rsid w:val="00E854CC"/>
    <w:rsid w:val="00EA7010"/>
    <w:rsid w:val="00EA7E75"/>
    <w:rsid w:val="00EB308B"/>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912F9"/>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espondensi@email.com"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4591</Words>
  <Characters>26169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Dr. Johannes Baptista Halik,SE.,MM.,CDM</cp:lastModifiedBy>
  <cp:revision>4</cp:revision>
  <cp:lastPrinted>2023-04-17T18:59:00Z</cp:lastPrinted>
  <dcterms:created xsi:type="dcterms:W3CDTF">2026-01-24T05:16:00Z</dcterms:created>
  <dcterms:modified xsi:type="dcterms:W3CDTF">2026-01-24T05:29:00Z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