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Sinkronisasi Dakwaan dan Amar Putusan dalam Perkara Akses Ilegal Sistem Ujian Berbasis Komputer</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Benedikta Tandilino</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benedikta@ukipaulus.ac.id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illegal access, electronic system, alternative indictment, limits of the indictment, participation, computer-based examination</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akses ilegal, sistem elektronik, dakwaan alternatif, batas dakwaan, penyertaan, ujian berbasis komputer</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Illegal access is commonly imagined as technical hacking, yet it may also occur when a person uses another party's identity, credentials, and terminal. This study examines the prosecutor's indictment and the panel's legal reasoning in Makassar District Court Decision Number 1440/Pid.Sus/2025/PN Mks, which concerns the misuse of a computer-based national university entrance examination. The research is normative legal research employing statutory, case, and conceptual approaches, analysed descriptively and qualitatively. The findings show that the charge was framed in alternative form and that the second alternative corresponds more closely to the core conduct, since the offence of illegal access is a formal offence requiring no material loss. The study argues, however, that a substantive discrepancy exists: the indictment named the general access provision, while the elements examined and the verdict adopted the qualified provision requiring the purpose of obtaining electronic information, whose statutory maximum is one year higher. The panel invoked lex favor reo without working through its consequences. Since January 2026 both provisions have been repealed and reformulated within the national criminal code, whereas the first alternative remains in force.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Akses ilegal lazim dibayangkan sebagai peretasan teknis, padahal perbuatan itu juga dapat terjadi ketika seseorang menggunakan identitas, kredensial, dan perangkat milik pihak lain. Penelitian ini mengkaji dakwaan penuntut umum dan pertimbangan hukum majelis hakim dalam Putusan Pengadilan Negeri Makassar Nomor 1440/Pid.Sus/2025/PN Mks yang berkaitan dengan penyalahgunaan sistem ujian masuk perguruan tinggi berbasis komputer. Penelitian ini merupakan penelitian hukum normatif dengan pendekatan peraturan perundang-undangan, pendekatan kasus, dan pendekatan konseptual, yang dianalisis secara deskriptif kualitatif. Hasil penelitian menunjukkan dakwaan disusun dalam bentuk alternatif dan dakwaan kedua lebih sesuai dengan inti perbuatan, sebab akses ilegal merupakan delik formil yang tidak mensyaratkan timbulnya kerugian materiil. Penelitian ini berargumentasi bahwa terdapat ketidaksesuaian yang bersifat substantif, yakni surat dakwaan menyebut ketentuan akses secara umum sedangkan unsur yang diuji dan amar putusan menggunakan ketentuan berkualifikasi khusus yang mensyaratkan tujuan memperoleh informasi elektronik dan berancaman pidana satu tahun lebih berat. Majelis menyebut asas lex favor reo tanpa menguraikan akibat hukumnya. Sejak Januari 2026 kedua ketentuan itu telah dicabut dan direformulasi ke dalam kitab undang-undang hukum pidana nasional, sedangkan dakwaan kesatu tetap berlaku.</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Perkembangan teknologi informasi dan komunikasi telah mengubah pola interaksi manusia, penyelenggaraan pemerintahan, dan mekanisme transaksi ekonomi secara mendasar. Perubahan itu membawa kemudahan, tetapi sekaligus melahirkan bentuk kejahatan yang sebelumnya tidak dikenal dalam hukum konvensional (Soekanto, 2019). Salah satu bentuk kejahatan siber dengan frekuensi tinggi dan dampak luas adalah akses ilegal atau </w:t>
      </w:r>
      <w:r>
        <w:rPr>
          <w:rFonts w:ascii="Segoe UI" w:hAnsi="Segoe UI" w:cs="Segoe UI"/>
          <w:sz w:val="22"/>
          <w:szCs w:val="22"/>
          <w:i/>
          <w:iCs/>
        </w:rPr>
        <w:t xml:space="preserve">unauthorized access</w:t>
      </w:r>
      <w:r>
        <w:rPr>
          <w:rFonts w:ascii="Segoe UI" w:hAnsi="Segoe UI" w:cs="Segoe UI"/>
          <w:sz w:val="22"/>
          <w:szCs w:val="22"/>
        </w:rPr>
        <w:t xml:space="preserve">, yaitu perbuatan memasuki suatu sistem elektronik, jaringan komputer, atau aplikasi tanpa hak atau izin dari pihak yang berwenang (Efendi, 2020).</w:t>
      </w:r>
    </w:p>
    <w:p>
      <w:pPr>
        <w:pStyle w:val="IEEEParagraph"/>
        <w:ind w:left="567" w:right="322" w:firstLine="567"/>
        <w:rPr>
          <w:rFonts w:ascii="Segoe UI" w:hAnsi="Segoe UI" w:cs="Segoe UI"/>
          <w:sz w:val="22"/>
          <w:szCs w:val="22"/>
        </w:rPr>
      </w:pPr>
      <w:r>
        <w:rPr>
          <w:rFonts w:ascii="Segoe UI" w:hAnsi="Segoe UI" w:cs="Segoe UI"/>
          <w:sz w:val="22"/>
          <w:szCs w:val="22"/>
        </w:rPr>
        <w:t xml:space="preserve">Secara normatif, perbuatan tersebut diatur dalam Pasal 30 Undang-Undang Nomor 11 Tahun 2008 sebagaimana diubah dengan Undang-Undang Nomor 19 Tahun 2016. Ketentuan tersebut memilah tiga bentuk perbuatan, yaitu mengakses komputer atau sistem elektronik milik orang lain dengan cara apa pun, mengakses dengan tujuan memperoleh informasi elektronik atau dokumen elektronik, serta mengakses dengan menerobos sistem pengamanan, yang masing-masing diancam pidana berbeda dalam Pasal 46. Pemilahan itu memperlihatkan bahwa pembentuk undang-undang menempatkan derajat kesalahan yang berbeda pada setiap bentuk perbuatan, sehingga ketepatan memilih ayat menjadi persoalan yuridis yang menentukan, bukan sekadar persoalan redaksional.</w:t>
      </w:r>
    </w:p>
    <w:p>
      <w:pPr>
        <w:pStyle w:val="IEEEParagraph"/>
        <w:ind w:left="567" w:right="322" w:firstLine="567"/>
        <w:rPr>
          <w:rFonts w:ascii="Segoe UI" w:hAnsi="Segoe UI" w:cs="Segoe UI"/>
          <w:sz w:val="22"/>
          <w:szCs w:val="22"/>
        </w:rPr>
      </w:pPr>
      <w:r>
        <w:rPr>
          <w:rFonts w:ascii="Segoe UI" w:hAnsi="Segoe UI" w:cs="Segoe UI"/>
          <w:sz w:val="22"/>
          <w:szCs w:val="22"/>
        </w:rPr>
        <w:t xml:space="preserve">Ketepatan memilih ayat itu bertumpu pada asas legalitas. Suatu perbuatan hanya dapat dipidana apabila memenuhi seluruh unsur yang dirumuskan dalam ketentuan pidana yang berlaku pada saat perbuatan dilakukan, sehingga rumusan delik sekaligus berfungsi sebagai pembatas kekuasaan negara dalam menjatuhkan pidana (Moeljatno, 2018). Konsekuensinya, penambahan atau pengurangan satu unsur saja dapat mengubah kualifikasi perbuatan sekaligus ancaman pidananya, sebab tiap unsur memiliki fungsi konstitutif dalam bangunan delik (Chazawi, 2011). Dalam perkara siber, tuntutan kecermatan itu bertambah berat karena objek perbuatan bukan benda konvensional, melainkan komputer, aplikasi, data, dan sistem elektronik. Kecermatan itu juga sejalan dengan arah kebijakan hukum pidana yang menempatkan kodifikasi sebagai upaya menata kembali ketentuan pidana yang tersebar di berbagai undang-undang (Arief,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Kesulitan penerapan muncul karena kejahatan siber memiliki karakteristik khusus, yaitu jejak digital yang mudah dihapus atau dimodifikasi serta pembuktian yang menuntut keahlian teknis. Dalam perkara semacam ini, keterangan ahli dan alat bukti berupa data elektronik menjadi dominan, sehingga peran hakim dalam menilai keabsahan bukti digital menjadi sangat menentukan (Harahap, 2010). Persoalan menjadi lebih rumit ketika akses ilegal tidak berbentuk peretasan dengan teknik yang rumit, melainkan terjadi melalui penggunaan identitas, kredensial, dan perangkat yang seharusnya hanya digunakan pihak yang berhak.</w:t>
      </w:r>
    </w:p>
    <w:p>
      <w:pPr>
        <w:pStyle w:val="IEEEParagraph"/>
        <w:ind w:left="567" w:right="322" w:firstLine="567"/>
        <w:rPr>
          <w:rFonts w:ascii="Segoe UI" w:hAnsi="Segoe UI" w:cs="Segoe UI"/>
          <w:sz w:val="22"/>
          <w:szCs w:val="22"/>
        </w:rPr>
      </w:pPr>
      <w:r>
        <w:rPr>
          <w:rFonts w:ascii="Segoe UI" w:hAnsi="Segoe UI" w:cs="Segoe UI"/>
          <w:sz w:val="22"/>
          <w:szCs w:val="22"/>
        </w:rPr>
        <w:t xml:space="preserve">Putusan Pengadilan Negeri Makassar Nomor 1440/Pid.Sus/2025/PN Mks memperlihatkan bentuk yang terakhir itu secara konkret. Perkara ini berkaitan dengan penyelenggaraan Ujian Tulis Berbasis Komputer pada Seleksi Nasional Berdasarkan Tes Tahun 2025 di lingkungan Universitas Hasanuddin. Perbuatan yang didakwakan menggabungkan tindakan fisik berupa penyiapan dokumen peserta dan pengaturan pihak yang memasuki ruang ujian, dengan tindakan digital berupa penggunaan komputer dan aplikasi ujian, pemasangan aplikasi kendali jarak jauh, serta pengiriman soal dan jawaban melalui media elektronik.</w:t>
      </w:r>
    </w:p>
    <w:p>
      <w:pPr>
        <w:pStyle w:val="IEEEParagraph"/>
        <w:ind w:left="567" w:right="322" w:firstLine="567"/>
        <w:rPr>
          <w:rFonts w:ascii="Segoe UI" w:hAnsi="Segoe UI" w:cs="Segoe UI"/>
          <w:sz w:val="22"/>
          <w:szCs w:val="22"/>
        </w:rPr>
      </w:pPr>
      <w:r>
        <w:rPr>
          <w:rFonts w:ascii="Segoe UI" w:hAnsi="Segoe UI" w:cs="Segoe UI"/>
          <w:sz w:val="22"/>
          <w:szCs w:val="22"/>
        </w:rPr>
        <w:t xml:space="preserve">Masalah hukum yang muncul bersifat berlapis. Pada lapis pertama terdapat pertanyaan mengenai ketepatan konstruksi dakwaan, yaitu apakah bentuk alternatif yang dipilih penuntut umum sudah menggambarkan inti perbuatan dan apakah uraiannya memenuhi syarat cermat, jelas, dan lengkap. Pada lapis kedua terdapat pertanyaan mengenai kualitas pertimbangan hakim, yaitu apakah unsur yang diuji benar-benar bersumber pada ketentuan yang didakwakan, dan apakah pidana yang dijatuhkan dijelaskan hubungannya dengan keadaan yang memberatkan dan meringankan.</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akses ilegal di Indonesia telah berkembang cukup lama. Efendi (2020) menelaah kejahatan siber dan penanganannya, Damayanti (2021) menyusun kerangka hukum pidana siber, sedangkan Djumhana dan Djubaedillah (2017) mengkaji pembuktian dalam tindak pidana komputer. Kajian-kajian tersebut berjasa membangun landasan konseptual, tetapi umumnya berhenti pada tataran norma dan pembuktian secara umum, belum menguji sinkronisasi antara pasal yang didakwakan, unsur yang dipertimbangkan, dan amar putusan dalam satu perkara secara rinci.</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menelusuri penerapan norma sampai pada tingkat ayat, kemudian menempatkan putusan pada titik transisi sistem pemidanaan nasional. Sejak 2 Januari 2026 berlaku Undang-Undang Nomor 1 Tahun 2023 tentang Kitab Undang-Undang Hukum Pidana bersama Undang-Undang Nomor 20 Tahun 2025 tentang Kitab Undang-Undang Hukum Acara Pidana, sementara Pasal 622 ayat (1) huruf r Undang-Undang Nomor 1 Tahun 2023 mencabut sejumlah ketentuan dalam undang-undang informasi dan transaksi elektronik. Dimensi transisional inilah yang belum dijangkau kajian terdahulu, padahal justru dimensi itu yang menentukan apakah konstruksi pemidanaan dalam putusan a quo masih dapat diulang pada perkara sejenis.</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secara yuridis dakwaan penuntut umum dalam tindak pidana akses ilegal berdasarkan Putusan Nomor 1440/Pid.Sus/2025/PN Mks; kedua, menganalisis pertimbangan hukum hakim dalam putusan tersebut. Secara teoretis, penelitian ini berkontribusi pada kajian hukum pidana siber dengan memperluas pemahaman mengenai bentuk perbuatan mengakses yang tidak selalu berupa peretasan teknis. Secara praktis, hasil penelitian ini dapat menjadi rujukan bagi penuntut umum dan hakim dalam menjaga sinkronisasi antara dakwaan, pembuktian, dan amar putusan pada perkara siber.</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sumber bahan hukum, teknik pengumpulan bahan hukum,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 yaitu penelitian yang berfokus pada kajian terhadap norma hukum dalam peraturan perundang-undangan, putusan pengadilan, serta doktrin para ahli, dengan bahan pustaka sebagai bahan dasar penelitian (Soekanto, 2007). Penelitian ini tidak menjadikan data empiris sebagai sumber utama, melainkan menitikberatkan analisis pada aturan hukum dan penerapannya dalam praktik peradilan.</w:t>
      </w:r>
    </w:p>
    <w:p>
      <w:pPr>
        <w:pStyle w:val="IEEEParagraph"/>
        <w:ind w:left="567" w:right="322" w:firstLine="567"/>
        <w:rPr>
          <w:rFonts w:ascii="Segoe UI" w:hAnsi="Segoe UI" w:cs="Segoe UI"/>
          <w:sz w:val="22"/>
          <w:szCs w:val="22"/>
        </w:rPr>
      </w:pPr>
      <w:r>
        <w:rPr>
          <w:rFonts w:ascii="Segoe UI" w:hAnsi="Segoe UI" w:cs="Segoe UI"/>
          <w:sz w:val="22"/>
          <w:szCs w:val="22"/>
        </w:rPr>
        <w:t xml:space="preserve">Tiga pendekatan digunakan secara berlapis.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dipakai untuk menelaah ketentuan yang menjadi dasar pengaturan akses ilegal beserta perubahan dan masa berlakunya. Pendekatan kasus (</w:t>
      </w:r>
      <w:r>
        <w:rPr>
          <w:rFonts w:ascii="Segoe UI" w:hAnsi="Segoe UI" w:cs="Segoe UI"/>
          <w:sz w:val="22"/>
          <w:szCs w:val="22"/>
          <w:i/>
          <w:iCs/>
        </w:rPr>
        <w:t xml:space="preserve">case approach</w:t>
      </w:r>
      <w:r>
        <w:rPr>
          <w:rFonts w:ascii="Segoe UI" w:hAnsi="Segoe UI" w:cs="Segoe UI"/>
          <w:sz w:val="22"/>
          <w:szCs w:val="22"/>
        </w:rPr>
        <w:t xml:space="preserve">) dipakai untuk mengkaji ratio decidendi majelis hakim, penerapan unsur delik, dan kesesuaian putusan dengan norma yang berlaku. Pendekatan konseptual (</w:t>
      </w:r>
      <w:r>
        <w:rPr>
          <w:rFonts w:ascii="Segoe UI" w:hAnsi="Segoe UI" w:cs="Segoe UI"/>
          <w:sz w:val="22"/>
          <w:szCs w:val="22"/>
          <w:i/>
          <w:iCs/>
        </w:rPr>
        <w:t xml:space="preserve">conceptual approach</w:t>
      </w:r>
      <w:r>
        <w:rPr>
          <w:rFonts w:ascii="Segoe UI" w:hAnsi="Segoe UI" w:cs="Segoe UI"/>
          <w:sz w:val="22"/>
          <w:szCs w:val="22"/>
        </w:rPr>
        <w:t xml:space="preserve">) dipakai untuk mendudukkan konsep kepastian hukum, pertanggungjawaban pidana, penyertaan, pembuktian, serta penemuan hukum oleh hakim. Penggunaan beberapa pendekatan sekaligus dimaksudkan untuk memperoleh pemahaman yang komprehensif atas isu hukum yang dikaji (Marzuki, 2016).</w:t>
      </w:r>
    </w:p>
    <w:p>
      <w:pPr>
        <w:pStyle w:val="IEEEParagraph"/>
        <w:ind w:left="567" w:right="322"/>
      </w:pPr>
    </w:p>
    <w:p>
      <w:pPr>
        <w:pStyle w:val="Heading2"/>
        <w:ind w:right="322"/>
        <w:rPr>
          <w:rStyle w:val="mediumtext"/>
        </w:rPr>
      </w:pPr>
      <w:r>
        <w:rPr>
          <w:rStyle w:val="mediumtext"/>
        </w:rPr>
        <w:t xml:space="preserve">2.2 Sumber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terdiri atas Undang-Undang Dasar Negara Republik Indonesia Tahun 1945, Undang-Undang Nomor 8 Tahun 1981 tentang Hukum Acara Pidana, Kitab Undang-Undang Hukum Pidana, Undang-Undang Nomor 11 Tahun 2008 tentang Informasi dan Transaksi Elektronik beserta perubahannya melalui Undang-Undang Nomor 19 Tahun 2016 dan Undang-Undang Nomor 1 Tahun 2024, Undang-Undang Nomor 1 Tahun 2023 tentang Kitab Undang-Undang Hukum Pidana, Undang-Undang Nomor 20 Tahun 2025 tentang Kitab Undang-Undang Hukum Acara Pidana, serta Putusan Pengadilan Negeri Makassar Nomor 1440/Pid.Sus/2025/PN Mks.</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sekunder berupa buku teks hukum pidana dan hukum acara pidana, artikel jurnal ilmiah, hasil penelitian terdahulu, serta pendapat para ahli hukum. Bahan hukum tersier berupa kamus hukum, ensiklopedia hukum, dan sumber rujukan lain yang relevan.</w:t>
      </w:r>
    </w:p>
    <w:p>
      <w:pPr>
        <w:pStyle w:val="IEEEParagraph"/>
        <w:ind w:left="567" w:right="322"/>
      </w:pPr>
    </w:p>
    <w:p>
      <w:pPr>
        <w:pStyle w:val="Heading2"/>
        <w:ind w:right="322"/>
        <w:rPr>
          <w:rStyle w:val="mediumtext"/>
        </w:rPr>
      </w:pPr>
      <w:r>
        <w:rPr>
          <w:rStyle w:val="mediumtext"/>
        </w:rPr>
        <w:t xml:space="preserve">2.3 Teknik Pengumpulan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bahan hukum ditempuh melalui studi kepustakaan (</w:t>
      </w:r>
      <w:r>
        <w:rPr>
          <w:rFonts w:ascii="Segoe UI" w:hAnsi="Segoe UI" w:cs="Segoe UI"/>
          <w:sz w:val="22"/>
          <w:szCs w:val="22"/>
          <w:i/>
          <w:iCs/>
        </w:rPr>
        <w:t xml:space="preserve">library research</w:t>
      </w:r>
      <w:r>
        <w:rPr>
          <w:rFonts w:ascii="Segoe UI" w:hAnsi="Segoe UI" w:cs="Segoe UI"/>
          <w:sz w:val="22"/>
          <w:szCs w:val="22"/>
        </w:rPr>
        <w:t xml:space="preserve">), yaitu penelaahan peraturan perundang-undangan yang berkaitan dengan akses ilegal, analisis terhadap putusan yang menjadi objek penelitian, penelaahan literatur berupa buku dan jurnal ilmiah, serta penelusuran bahan hukum melalui media elektronik yang kredibel.</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putusan dijatuhkan, penelusuran diarahkan pada teks undang-undang beserta ketentuan penutupnya, bukan pada tulisan populer, agar setiap pernyataan mengenai pencabutan dan masa berlaku norma dapat diverifikasi sumbernya. Bahan yang tidak dapat diverifikasi tidak digunakan sebagai dasar argumentasi.</w:t>
      </w:r>
    </w:p>
    <w:p>
      <w:pPr>
        <w:pStyle w:val="IEEEParagraph"/>
        <w:ind w:left="567" w:right="322"/>
      </w:pPr>
    </w:p>
    <w:p>
      <w:pPr>
        <w:pStyle w:val="Heading2"/>
        <w:ind w:right="322"/>
        <w:rPr>
          <w:rStyle w:val="mediumtext"/>
        </w:rPr>
      </w:pPr>
      <w:r>
        <w:rPr>
          <w:rStyle w:val="mediumtext"/>
        </w:rPr>
        <w:t xml:space="preserve">2.4 Teknik Analisis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Analisis dilakukan secara kualitatif melalui tahapan yang berjenjang, yaitu inventarisasi bahan hukum, klasifikasi bahan hukum menurut isu yang diteliti, interpretasi terhadap ketentuan yang relevan, analisis yuridis atas kesesuaian antara norma dan fakta hukum dalam putusan, serta perumusan kesimpulan secara sistematis.</w:t>
      </w:r>
    </w:p>
    <w:p>
      <w:pPr>
        <w:pStyle w:val="IEEEParagraph"/>
        <w:ind w:left="567" w:right="322" w:firstLine="567"/>
        <w:rPr>
          <w:rFonts w:ascii="Segoe UI" w:hAnsi="Segoe UI" w:cs="Segoe UI"/>
          <w:sz w:val="22"/>
          <w:szCs w:val="22"/>
        </w:rPr>
      </w:pPr>
      <w:r>
        <w:rPr>
          <w:rFonts w:ascii="Segoe UI" w:hAnsi="Segoe UI" w:cs="Segoe UI"/>
          <w:sz w:val="22"/>
          <w:szCs w:val="22"/>
        </w:rPr>
        <w:t xml:space="preserve">Khusus untuk menilai sinkronisasi putusan, analisis dilanjutkan dengan penyandingan tiga lapis, yaitu pasal yang dicantumkan dalam surat dakwaan, rumusan unsur yang diuji dalam pertimbangan, dan kualifikasi yang dinyatakan dalam amar. Penyandingan tersebut kemudian dihubungkan dengan ancaman pidana masing-masing ketentuan dan dengan status keberlakuannya sesudah putusan dijatuhkan, sehingga penilaian tidak berhenti pada perbedaan penulisan melainkan menjangkau akibat hukumnya.</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rumusan unsur dan ancaman pidana diperiksa langsung pada teks peraturan, agar tidak terjadi kekeliruan penyebutan norma. Kedua, setiap penilaian terhadap berat pidana diuji dengan menyandingkannya pada pandangan yang berbeda, khususnya pandangan yang menekankan individualisasi pidana dan kemerdekaan hakim, agar argumentasi yang dibangun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satu putusan sehingga tidak dimaksudkan menggeneralisasi praktik peradilan perkara siber secara nasional; nilai penelitian terletak pada kedalaman analisis terhadap konstruksi penalaran hukum. Penilaian terhadap regulasi terbaru dibatasi pada aspek rumusan unsur, ancaman pidana, dan status keberlakuan ketentuan, serta tidak mencakup evaluasi empiris atas penerapannya. Kesimpulan yang ditarik berlaku pada tataran konstruksi hukum dan bukan merupakan penilaian atas kinerja aparat tertentu.</w:t>
      </w:r>
    </w:p>
    <w:p>
      <w:pPr>
        <w:pStyle w:val="IEEEParagraph"/>
        <w:ind w:left="567" w:right="322" w:firstLine="567"/>
        <w:rPr>
          <w:rFonts w:ascii="Segoe UI" w:hAnsi="Segoe UI" w:cs="Segoe UI"/>
          <w:sz w:val="22"/>
          <w:szCs w:val="22"/>
        </w:rPr>
      </w:pPr>
      <w:r>
        <w:rPr>
          <w:rFonts w:ascii="Segoe UI" w:hAnsi="Segoe UI" w:cs="Segoe UI"/>
          <w:sz w:val="22"/>
          <w:szCs w:val="22"/>
        </w:rPr>
        <w:t xml:space="preserve">Selain itu, penelitian ini tidak menilai keabsahan tindakan aparat dalam perkara konkret di luar apa yang tertuang dalam putusan, dan tidak menggunakan data teknis forensik digital di luar uraian yang termuat dalam berkas perkara. Pembatasan ini diperlukan agar penilaian tetap berada pada wilayah normatif dan tidak melampaui bahan hukum yang tersedia. Dengan pembatasan tersebut, temuan penelitian diarahkan pada kualitas konstruksi hukum, yaitu hubungan antara pasal yang didakwakan, unsur yang diuji, dan kualifikasi dalam amar putusan.</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dakwaan penuntut umum, sedangkan subbagian 3.2 menganalisis pertimbangan majelis hakim beserta sinkronisasinya dengan amar putusan.</w:t>
      </w:r>
    </w:p>
    <w:p>
      <w:pPr>
        <w:pStyle w:val="IEEEParagraph"/>
        <w:ind w:left="567" w:right="322"/>
      </w:pPr>
    </w:p>
    <w:p>
      <w:pPr>
        <w:pStyle w:val="Heading2"/>
        <w:ind w:right="322"/>
        <w:rPr>
          <w:rStyle w:val="mediumtext"/>
        </w:rPr>
      </w:pPr>
      <w:r>
        <w:rPr>
          <w:rStyle w:val="mediumtext"/>
        </w:rPr>
        <w:t xml:space="preserve">3.1 Analisis Yuridis Dakwaan Penuntut Umum</w:t>
      </w:r>
    </w:p>
    <w:p>
      <w:pPr>
        <w:pStyle w:val="IEEEParagraph"/>
        <w:ind w:left="567" w:right="322" w:firstLine="567"/>
        <w:rPr>
          <w:rFonts w:ascii="Segoe UI" w:hAnsi="Segoe UI" w:cs="Segoe UI"/>
          <w:sz w:val="22"/>
          <w:szCs w:val="22"/>
        </w:rPr>
      </w:pPr>
      <w:r>
        <w:rPr>
          <w:rFonts w:ascii="Segoe UI" w:hAnsi="Segoe UI" w:cs="Segoe UI"/>
          <w:sz w:val="22"/>
          <w:szCs w:val="22"/>
        </w:rPr>
        <w:t xml:space="preserve">Fakta yang diuraikan dalam dakwaan dapat diringkas sebagai berikut. Terdakwa berkomunikasi dengan pihak yang membutuhkan bantuan dalam pelaksanaan ujian dan menyanggupi penyediaan jasa joki dengan imbalan. Terdakwa meminta dokumen digital berupa kartu ujian, kartu tanda penduduk, dan surat keterangan siswa milik peserta, lalu menyerahkannya kepada seorang saksi yang bukan peserta terdaftar untuk menggantikan peserta di ruang ujian. Saksi tersebut masuk ke ruang ujian, melakukan login dengan nomor peserta dan nomor identifikasi pribadi, lalu mengerjakan soal pada aplikasi ujian menggunakan komputer yang disediakan panitia. Pada hari berikutnya soal dikirim dalam bentuk gambar melalui aplikasi percakapan, jawaban dikirim kembali kepada terdakwa, dan diteruskan kepada pihak yang mengendalikan komputer peserta melalui aplikasi kendali jarak jauh yang dipasang dengan bantuan pihak dalam kepanitiaan.</w:t>
      </w:r>
    </w:p>
    <w:p>
      <w:pPr>
        <w:pStyle w:val="IEEEParagraph"/>
        <w:ind w:left="567" w:right="322" w:firstLine="567"/>
        <w:rPr>
          <w:rFonts w:ascii="Segoe UI" w:hAnsi="Segoe UI" w:cs="Segoe UI"/>
          <w:sz w:val="22"/>
          <w:szCs w:val="22"/>
        </w:rPr>
      </w:pPr>
      <w:r>
        <w:rPr>
          <w:rFonts w:ascii="Segoe UI" w:hAnsi="Segoe UI" w:cs="Segoe UI"/>
          <w:sz w:val="22"/>
          <w:szCs w:val="22"/>
        </w:rPr>
        <w:t xml:space="preserve">Atas peristiwa tersebut penuntut umum menyusun dakwaan berbentuk alternatif. Bentuk ini lazim dipakai apabila terdapat beberapa kemungkinan pasal atas satu rangkaian perbuatan, sehingga hakim cukup memilih dakwaan yang paling terbukti tanpa perlu membuktikan seluruhnya satu per satu. Surat dakwaan sendiri berkedudukan sebagai dasar sekaligus batas pemeriksaan perkara, sehingga ketepatan merumuskan perbuatan, waktu, tempat, dan pasal menjadi syarat bagi terpenuhinya kepastian hukum (Harahap, 2010). Tabel 1 memperbandingkan kedua dakwaan alternatif tersebut.</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Perbandingan Dakwaan Alternatif, Inti Perbuatan, dan Kesesuaiannya dengan Fakta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100"/>
        <w:gridCol w:w="2300"/>
        <w:gridCol w:w="2300"/>
        <w:gridCol w:w="2326"/>
      </w:tblGrid>
      <w:tr>
        <w:trPr>
          <w:cantSplit/>
          <w:tblHeader/>
        </w:trPr>
        <w:tc>
          <w:tcPr>
            <w:tcW w:w="21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Dakwaan dan Dasar Hukum</w:t>
            </w:r>
          </w:p>
        </w:tc>
        <w:tc>
          <w:tcPr>
            <w:tcW w:w="23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Inti Perbuatan yang Dilarang</w:t>
            </w:r>
          </w:p>
        </w:tc>
        <w:tc>
          <w:tcPr>
            <w:tcW w:w="23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Fakta Persidangan yang Relevan</w:t>
            </w:r>
          </w:p>
        </w:tc>
        <w:tc>
          <w:tcPr>
            <w:tcW w:w="23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Penilaian</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Kesatu: Pasal 48 ayat (2) jo. Pasal 32 ayat (2) UU ITE jo. Pasal 55 ayat (1) ke-1 KUHP</w:t>
            </w:r>
          </w:p>
        </w:tc>
        <w:tc>
          <w:tcPr>
            <w:tcW w:w="2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Memindahkan atau mentransfer informasi elektronik dan/atau dokumen elektronik kepada sistem elektronik orang lain yang tidak berhak</w:t>
            </w:r>
          </w:p>
        </w:tc>
        <w:tc>
          <w:tcPr>
            <w:tcW w:w="2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Pengiriman soal dalam bentuk gambar dan pengiriman jawaban melalui aplikasi percakapan</w:t>
            </w:r>
          </w:p>
        </w:tc>
        <w:tc>
          <w:tcPr>
            <w:tcW w:w="23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Berlandaskan fakta, tetapi menuntut uraian lebih tegas mengenai objek, asal, dan tujuan pemindahan</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Kedua: Pasal 46 ayat (1) jo. Pasal 30 ayat (1) UU ITE jo. Pasal 55 ayat (1) ke-1 KUHP</w:t>
            </w:r>
          </w:p>
        </w:tc>
        <w:tc>
          <w:tcPr>
            <w:tcW w:w="2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Dengan sengaja dan tanpa hak atau melawan hukum mengakses komputer dan/atau sistem elektronik milik orang lain dengan cara apa pun</w:t>
            </w:r>
          </w:p>
        </w:tc>
        <w:tc>
          <w:tcPr>
            <w:tcW w:w="2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Login dan pengerjaan soal pada aplikasi ujian oleh pihak yang tidak terdaftar sebagai peserta, serta pengendalian komputer peserta dari jarak jauh</w:t>
            </w:r>
          </w:p>
        </w:tc>
        <w:tc>
          <w:tcPr>
            <w:tcW w:w="23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Lebih langsung menggambarkan inti perbuatan dan lebih mudah dibuktikan karena merupakan delik formil</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1440/Pid.Sus/2025/PN Mks (2025) dan UU No. 11 Tahun 2008 sebagaimana telah diubah</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pemilihan bentuk alternatif dapat dipertanggungjawabkan karena rangkaian perbuatan terdakwa memang dapat dibaca dari dua sudut, yaitu sebagai penyalahgunaan informasi elektronik dan sebagai akses terhadap sistem elektronik oleh pihak yang tidak berhak. Namun dakwaan kedua lebih langsung menyentuh inti perbuatan. Akses ilegal merupakan delik formil sehingga fokus pembuktiannya terletak pada perbuatan mengakses tanpa hak, bukan pada timbulnya kerugian materiil. Dalam perkara ini, perbuatan login dan pengerjaan soal oleh orang yang tidak terdaftar sebagai peserta sudah cukup untuk dinilai sebagai perbuatan mengakses.</w:t>
      </w:r>
    </w:p>
    <w:p>
      <w:pPr>
        <w:pStyle w:val="IEEEParagraph"/>
        <w:ind w:left="567" w:right="322" w:firstLine="567"/>
        <w:rPr>
          <w:rFonts w:ascii="Segoe UI" w:hAnsi="Segoe UI" w:cs="Segoe UI"/>
          <w:sz w:val="22"/>
          <w:szCs w:val="22"/>
        </w:rPr>
      </w:pPr>
      <w:r>
        <w:rPr>
          <w:rFonts w:ascii="Segoe UI" w:hAnsi="Segoe UI" w:cs="Segoe UI"/>
          <w:sz w:val="22"/>
          <w:szCs w:val="22"/>
        </w:rPr>
        <w:t xml:space="preserve">Temuan yang perlu ditegaskan adalah bahwa akses ilegal tidak selalu berbentuk peretasan dengan teknik yang rumit. Dalam perkara a quo, akses justru terjadi melalui pintu yang secara teknis terbuka, yaitu penggunaan identitas dan kredensial milik peserta resmi serta pemasangan aplikasi kendali jarak jauh dengan bantuan pihak dalam. Secara yuridis, unsur tanpa hak tetap terpenuhi karena komputer dan aplikasi ujian bukan fasilitas umum, melainkan perangkat yang diperuntukkan bagi peserta resmi melalui prosedur khusus. Temuan ini memperluas pemahaman mengenai bentuk perbuatan mengakses dalam hukum pidana siber.</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dakwaan tersebut terdapat dua catatan. Pertama, uraian awal dakwaan menyebut tanggal yang berbeda dengan uraian peristiwa dan barang bukti, padahal surat dakwaan harus cermat, jelas, dan lengkap. Apabila perbedaan itu hanya berupa kekeliruan pengetikan dan tidak menimbulkan keraguan terhadap peristiwa yang didakwakan, kekeliruan tersebut tidak selalu membatalkan dakwaan; namun demi kepastian hukum penyebutan waktu seharusnya konsisten. Kedua, penggunaan Pasal 55 ayat (1) ke-1 Kitab Undang-Undang Hukum Pidana sudah tepat, sebab akses secara fisik dilakukan oleh saksi lain sedangkan terdakwa berperan mempersiapkan, mengarahkan, menghubungkan, dan memberikan imbalan. Penyertaan memungkinkan pertanggungjawaban tetap dibebankan kepada terdakwa sepanjang terdapat kesengajaan bersama dan kontribusi nyata terhadap terlaksananya tindak pidana (Lamintang, 2011).</w:t>
      </w:r>
    </w:p>
    <w:p>
      <w:pPr>
        <w:pStyle w:val="IEEEParagraph"/>
        <w:ind w:left="567" w:right="322"/>
      </w:pPr>
    </w:p>
    <w:p>
      <w:pPr>
        <w:pStyle w:val="Heading2"/>
        <w:ind w:right="322"/>
        <w:rPr>
          <w:rStyle w:val="mediumtext"/>
        </w:rPr>
      </w:pPr>
      <w:r>
        <w:rPr>
          <w:rStyle w:val="mediumtext"/>
        </w:rPr>
        <w:t xml:space="preserve">3.2 Pertimbangan Hukum Hakim dan Sinkronisasi Dakwaan dengan Amar Putusan</w:t>
      </w:r>
    </w:p>
    <w:p>
      <w:pPr>
        <w:pStyle w:val="IEEEParagraph"/>
        <w:ind w:left="567" w:right="322" w:firstLine="567"/>
        <w:rPr>
          <w:rFonts w:ascii="Segoe UI" w:hAnsi="Segoe UI" w:cs="Segoe UI"/>
          <w:sz w:val="22"/>
          <w:szCs w:val="22"/>
        </w:rPr>
      </w:pPr>
      <w:r>
        <w:rPr>
          <w:rFonts w:ascii="Segoe UI" w:hAnsi="Segoe UI" w:cs="Segoe UI"/>
          <w:sz w:val="22"/>
          <w:szCs w:val="22"/>
        </w:rPr>
        <w:t xml:space="preserve">Majelis hakim menguji tiga unsur, yaitu unsur setiap orang, unsur tanpa hak atau melawan hukum mengakses komputer dan/atau sistem elektronik dengan cara apa pun dengan tujuan memperoleh informasi elektronik dan/atau dokumen elektronik, serta unsur turut serta melakukan tindak pidana. Unsur pertama dinilai terpenuhi karena terdakwa membenarkan identitasnya, memahami surat dakwaan, dan mampu memberikan keterangan sehingga dapat dimintakan pertanggungjawaban pidana. Unsur kedua dinilai terpenuhi karena komputer dan aplikasi ujian hanya diperuntukkan bagi peserta resmi yang melakukan login dengan nomor peserta dan nomor identifikasi pribadi, sedangkan pihak yang menggunakannya bukan peserta terdaftar. Unsur ketiga dinilai terpenuhi karena terdapat kerja sama beberapa pihak dengan terdakwa sebagai pengatur. Majelis kemudian menjatuhkan pidana penjara enam bulan, lebih ringan daripada tuntutan penuntut umum berupa pidana penjara sepuluh bulan.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penilaian majelis atas ketiga unsur tersebut sejalan dengan fakta utama perkara dan menunjukkan usaha menghubungkan konsep teknis teknologi informasi dengan unsur hukum pidana. Akan tetapi terdapat persoalan mendasar pada sumber rumusan unsur yang diuji. Dakwaan kedua menyebut Pasal 30 ayat (1), yaitu mengakses komputer atau sistem elektronik milik orang lain dengan cara apa pun. Sementara itu, unsur yang dipertimbangkan dan kualifikasi dalam amar memuat frasa tambahan berupa tujuan memperoleh informasi elektronik dan/atau dokumen elektronik, yang merupakan rumusan Pasal 30 ayat (2). Tabel 2 menyandingkan kedua ketentuan tersebut.</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Perbandingan Ketentuan yang Didakwakan dan Ketentuan yang Dipertimbangkan Beserta Status Keberlakuannya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900"/>
        <w:gridCol w:w="3500"/>
        <w:gridCol w:w="3626"/>
      </w:tblGrid>
      <w:tr>
        <w:trPr>
          <w:cantSplit/>
          <w:tblHeader/>
        </w:trPr>
        <w:tc>
          <w:tcPr>
            <w:tcW w:w="19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Aspek</w:t>
            </w:r>
          </w:p>
        </w:tc>
        <w:tc>
          <w:tcPr>
            <w:tcW w:w="3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Pasal 30 ayat (1) jo. Pasal 46 ayat (1) (didakwakan)</w:t>
            </w:r>
          </w:p>
        </w:tc>
        <w:tc>
          <w:tcPr>
            <w:tcW w:w="36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Pasal 30 ayat (2) jo. Pasal 46 ayat (2) (dipertimbangkan)</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Rumusan unsur</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Mengakses komputer dan/atau sistem elektronik milik orang lain dengan cara apa pun</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Mengakses komputer dan/atau sistem elektronik dengan cara apa pun dengan tujuan memperoleh informasi elektronik dan/atau dokumen elektronik</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Ancaman pidana penjara maksimum</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6 tahun</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7 tahun</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Ancaman pidana denda maksimum</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Rp600.000.000,00</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Rp700.000.000,00</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Kedudukan dalam perkara</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Dicantumkan dalam surat dakwaan alternatif kedua</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Dipakai sebagai rumusan unsur dalam pertimbangan dan kualifikasi dalam amar</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Status sejak 2 Januari 2026</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Dicabut berdasarkan Pasal 622 ayat (1) huruf r UU No. 1 Tahun 2023 dan direformulasi ke dalam KUHP Nasional</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Dicabut berdasarkan ketentuan yang sama dan direformulasi ke dalam KUHP Nasional</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1440/Pid.Sus/2025/PN Mks (2025), UU No. 19 Tahun 2016, dan UU No. 1 Tahun 2023</w:t>
      </w:r>
    </w:p>
    <w:p>
      <w:pPr>
        <w:pStyle w:val="IEEEParagraph"/>
        <w:ind w:left="567" w:right="322" w:firstLine="567"/>
        <w:rPr>
          <w:rFonts w:ascii="Segoe UI" w:hAnsi="Segoe UI" w:cs="Segoe UI"/>
          <w:sz w:val="22"/>
          <w:szCs w:val="22"/>
        </w:rPr>
      </w:pPr>
      <w:r>
        <w:rPr>
          <w:rFonts w:ascii="Segoe UI" w:hAnsi="Segoe UI" w:cs="Segoe UI"/>
          <w:sz w:val="22"/>
          <w:szCs w:val="22"/>
        </w:rPr>
        <w:t xml:space="preserve">Tabel 2 memperlihatkan bahwa perbedaan tersebut bukan sekadar persoalan redaksional. Pasal 30 ayat (2) memuat unsur tambahan berupa tujuan memperoleh informasi elektronik dan diancam dengan pidana yang satu tahun lebih berat daripada Pasal 30 ayat (1). Secara yuridis, hakim terikat pada batas yang dirumuskan dalam surat dakwaan, sehingga menjatuhkan putusan atas kualifikasi yang tidak didakwakan berpotensi merugikan hak terdakwa untuk membela diri, karena pembelaan disusun terhadap rumusan yang tercantum dalam dakwaan. Apabila majelis memandang fakta lebih tepat diposisikan dalam ayat yang lain, dasar hukum peralihan itu semestinya diuraikan secara tegas beserta alasan mengapa hal tersebut tidak merugikan terdakwa.</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itu bertaut dengan catatan berikutnya. Majelis menyebut asas </w:t>
      </w:r>
      <w:r>
        <w:rPr>
          <w:rFonts w:ascii="Segoe UI" w:hAnsi="Segoe UI" w:cs="Segoe UI"/>
          <w:sz w:val="22"/>
          <w:szCs w:val="22"/>
          <w:i/>
          <w:iCs/>
        </w:rPr>
        <w:t xml:space="preserve">lex posterior derogat legi priori</w:t>
      </w:r>
      <w:r>
        <w:rPr>
          <w:rFonts w:ascii="Segoe UI" w:hAnsi="Segoe UI" w:cs="Segoe UI"/>
          <w:sz w:val="22"/>
          <w:szCs w:val="22"/>
        </w:rPr>
        <w:t xml:space="preserve"> dan asas </w:t>
      </w:r>
      <w:r>
        <w:rPr>
          <w:rFonts w:ascii="Segoe UI" w:hAnsi="Segoe UI" w:cs="Segoe UI"/>
          <w:sz w:val="22"/>
          <w:szCs w:val="22"/>
          <w:i/>
          <w:iCs/>
        </w:rPr>
        <w:t xml:space="preserve">lex favor reo</w:t>
      </w:r>
      <w:r>
        <w:rPr>
          <w:rFonts w:ascii="Segoe UI" w:hAnsi="Segoe UI" w:cs="Segoe UI"/>
          <w:sz w:val="22"/>
          <w:szCs w:val="22"/>
        </w:rPr>
        <w:t xml:space="preserve"> dalam pertimbangannya, tetapi tidak menguraikan akibat hukum kedua asas tersebut terhadap pemilihan pasal maupun berat pidana. Padahal justru pada titik inilah asas tersebut paling relevan. Jika dikaitkan dengan asas </w:t>
      </w:r>
      <w:r>
        <w:rPr>
          <w:rFonts w:ascii="Segoe UI" w:hAnsi="Segoe UI" w:cs="Segoe UI"/>
          <w:sz w:val="22"/>
          <w:szCs w:val="22"/>
          <w:i/>
          <w:iCs/>
        </w:rPr>
        <w:t xml:space="preserve">lex favor reo</w:t>
      </w:r>
      <w:r>
        <w:rPr>
          <w:rFonts w:ascii="Segoe UI" w:hAnsi="Segoe UI" w:cs="Segoe UI"/>
          <w:sz w:val="22"/>
          <w:szCs w:val="22"/>
        </w:rPr>
        <w:t xml:space="preserve">, pilihan yang konsisten adalah bertahan pada rumusan yang lebih ringan sebagaimana didakwakan, bukan berpindah pada rumusan yang berancaman lebih berat. Terdapat ketidakselarasan antara asas yang disebut dan konstruksi yang akhirnya dipakai.</w:t>
      </w:r>
    </w:p>
    <w:p>
      <w:pPr>
        <w:pStyle w:val="IEEEParagraph"/>
        <w:ind w:left="567" w:right="322" w:firstLine="567"/>
        <w:rPr>
          <w:rFonts w:ascii="Segoe UI" w:hAnsi="Segoe UI" w:cs="Segoe UI"/>
          <w:sz w:val="22"/>
          <w:szCs w:val="22"/>
        </w:rPr>
      </w:pPr>
      <w:r>
        <w:rPr>
          <w:rFonts w:ascii="Segoe UI" w:hAnsi="Segoe UI" w:cs="Segoe UI"/>
          <w:sz w:val="22"/>
          <w:szCs w:val="22"/>
        </w:rPr>
        <w:t xml:space="preserve">Catatan ketiga menyangkut alat bukti. Pertimbangan mengenai barang bukti disajikan cukup panjang, tetapi belum dipilah menurut fungsinya dalam membuktikan unsur. Komputer dan aplikasi ujian relevan untuk membuktikan objek sistem elektronik; telepon seluler dan percakapan relevan untuk membuktikan komunikasi, koordinasi, dan pengiriman informasi; kartu peserta dan dokumen identitas relevan untuk membuktikan penggunaan identitas orang lain; sedangkan rekaman kamera pengawas relevan untuk membuktikan keberadaan pihak terkait di lokasi ujian. Pemisahan fungsi tersebut akan membuat pembuktian dalam perkara siber lebih sistematis dan lebih mudah diuji pada tingkat pemeriksaan berikutnya (Djumhana &amp; Djubaedillah, 2017).</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berat pidana, posisi penulis bersifat berimbang. Pidana penjara enam bulan memang jauh di bawah ancaman maksimum, tetapi keadaan meringankan dalam perkara ini cukup kuat, yaitu terdakwa mengakui dan menyesali perbuatannya, belum pernah dihukum, serta pihak penyelenggara ujian telah memaafkan dan tidak berkeberatan. Dari perspektif individualisasi pidana, penjatuhan pidana yang lebih ringan daripada tuntutan dapat dipahami sebagai penilaian mandiri hakim atas derajat kesalahan terdakwa. Yang menjadi catatan bukan ringannya pidana, melainkan tidak diuraikannya hubungan antara keadaan yang memberatkan berupa keresahan masyarakat dan keadaan meringankan tersebut sehingga sampai pada angka enam bulan.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Dari perspektif transisional, perkembangan hukum sesudah putusan memberi penegasan tambahan. Pasal 622 ayat (1) huruf r Undang-Undang Nomor 1 Tahun 2023 mencabut sejumlah ketentuan dalam undang-undang informasi dan transaksi elektronik, di antaranya Pasal 30 mengenai akses ilegal beserta ancaman pidananya dalam Pasal 46, yang kemudian direformulasi ke dalam Kitab Undang-Undang Hukum Pidana Nasional. Sebaliknya, ketentuan yang menjadi dasar dakwaan kesatu tidak termasuk dalam ketentuan yang dicabut tersebut sehingga tetap berlaku. Implikasi praktisnya, perkara sejenis yang terjadi sesudah 2 Januari 2026 tidak lagi dapat dikonstruksikan dengan dasar hukum yang sama, sehingga penuntut umum dituntut menyesuaikan kualifikasi delik dengan rezim kodifikasi yang baru.</w:t>
      </w:r>
    </w:p>
    <w:p>
      <w:pPr>
        <w:pStyle w:val="IEEEParagraph"/>
        <w:ind w:left="567" w:right="322" w:firstLine="567"/>
        <w:rPr>
          <w:rFonts w:ascii="Segoe UI" w:hAnsi="Segoe UI" w:cs="Segoe UI"/>
          <w:sz w:val="22"/>
          <w:szCs w:val="22"/>
        </w:rPr>
      </w:pPr>
      <w:r>
        <w:rPr>
          <w:rFonts w:ascii="Segoe UI" w:hAnsi="Segoe UI" w:cs="Segoe UI"/>
          <w:sz w:val="22"/>
          <w:szCs w:val="22"/>
        </w:rPr>
        <w:t xml:space="preserve">Jika dikaitkan dengan teori sistem hukum, temuan tersebut menyentuh tiga wilayah sekaligus. Pada wilayah substansi hukum terlihat perpindahan norma dari undang-undang sektoral ke kodifikasi; pada wilayah struktur hukum terlihat tuntutan kecermatan aparat dalam merumuskan dan menguji pasal; sedangkan pada wilayah budaya hukum terlihat perlunya kesadaran bahwa ruang digital bukan ruang bebas hukum (Friedman, 1975). Penegakan hukum karenanya tidak dapat dipahami sebatas menjalankan undang-undang secara mekanis, melainkan harus diarahkan untuk menghadirkan manfaat dan keadilan bagi masyarakat (Rahardjo, 2009).</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Dakwaan penuntut umum dalam Putusan Pengadilan Negeri Makassar Nomor 1440/Pid.Sus/2025/PN Mks disusun dalam bentuk alternatif, yaitu dakwaan kesatu berupa Pasal 48 ayat (2) juncto Pasal 32 ayat (2) Undang-Undang Informasi dan Transaksi Elektronik juncto Pasal 55 ayat (1) ke-1 Kitab Undang-Undang Hukum Pidana, dan dakwaan kedua berupa Pasal 46 ayat (1) juncto Pasal 30 ayat (1) undang-undang yang sama juncto ketentuan penyertaan. Bentuk alternatif tersebut dapat dibenarkan karena perbuatan terdakwa memuat dua kemungkinan kualifikasi, yaitu pemindahan informasi elektronik dan akses terhadap sistem elektronik oleh pihak yang tidak berhak. Dakwaan kedua lebih tepat menggambarkan inti perbuatan karena akses ilegal merupakan delik formil yang pembuktiannya berfokus pada perbuatan mengakses. Penelitian ini juga menegaskan bahwa akses ilegal tidak selalu berupa peretasan teknis, sebab dalam perkara ini akses terjadi melalui penggunaan identitas dan kredensial peserta resmi serta aplikasi kendali jarak jauh. Catatan yang tersisa menyangkut konsistensi penyebutan waktu kejadian dan perincian objek informasi elektronik pada dakwaan kesatu.</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Pertimbangan hukum majelis hakim pada pokoknya telah menguji unsur setiap orang, unsur mengakses tanpa hak, dan unsur turut serta, serta menghubungkannya dengan fakta persidangan dan alat bukti. Meskipun demikian, terdapat ketidaksinkronan yang bersifat substantif, yaitu surat dakwaan menyebut Pasal 30 ayat (1) sedangkan unsur yang diuji dan kualifikasi dalam amar memuat rumusan Pasal 30 ayat (2) yang mensyaratkan tujuan memperoleh informasi elektronik dan berancaman pidana satu tahun lebih berat. Ketidaksinkronan tersebut menyentuh batas pemeriksaan perkara dan hak terdakwa untuk membela diri, sekaligus tidak selaras dengan asas lex favor reo yang justru disebut majelis dalam pertimbangannya. Selain itu, pertimbangan belum memilah fungsi masing-masing alat bukti elektronik, dan penjatuhan pidana enam bulan yang secara individualisasi dapat dipahami belum diuraikan hubungannya dengan keadaan memberatkan dan meringankan yang diakui majelis.</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penuntut umum menyusun surat dakwaan perkara siber dengan menegaskan ayat yang tepat sejak awal, disertai perincian objek sistem elektronik, bentuk akses, serta konsistensi waktu kejadian, sehingga tidak menimbulkan keraguan pada tahap pembuktian. Bagi hakim, apabila fakta dinilai lebih tepat diposisikan pada ayat yang berbeda dari yang didakwakan, dasar hukum dan alasannya perlu diuraikan secara tegas agar putusan tidak berkesan melampaui dakwaan; demikian pula setiap alat bukti elektronik sebaiknya dijelaskan fungsinya dalam membuktikan unsur tertentu. Bagi penyelenggara sistem elektronik, khususnya penyelenggara ujian berbasis komputer, pengamanan perlu diperkuat tidak hanya pada perangkat dan aplikasi, tetapi juga pada verifikasi identitas peserta, pembatasan pemasangan aplikasi pihak ketiga, pengawasan penggunaan aplikasi kendali jarak jauh, serta audit catatan akses. Adapun bagi pengembangan ilmu, penelitian lanjutan disarankan membandingkan putusan-putusan akses ilegal untuk memetakan pola pertimbangan hakim dan standar pembuktian alat bukti elektronik sesudah berlakunya kodifikasi pidana yang baru.</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Arief, B. N. (2016). </w:t>
      </w:r>
      <w:r>
        <w:rPr>
          <w:rFonts w:cs="Segoe UI"/>
          <w:sz w:val="20"/>
          <w:szCs w:val="20"/>
          <w:i/>
          <w:iCs/>
        </w:rPr>
        <w:t xml:space="preserve">Bunga rampai hukum pidana</w:t>
      </w:r>
      <w:r>
        <w:rPr>
          <w:rFonts w:cs="Segoe UI"/>
          <w:sz w:val="20"/>
          <w:szCs w:val="20"/>
        </w:rPr>
        <w:t xml:space="preserve">. Citra Aditya Bakti.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(2011). </w:t>
      </w:r>
      <w:r>
        <w:rPr>
          <w:rFonts w:cs="Segoe UI"/>
          <w:sz w:val="20"/>
          <w:szCs w:val="20"/>
          <w:i/>
          <w:iCs/>
        </w:rPr>
        <w:t xml:space="preserve">Pelajaran hukum pidana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Damayanti, E. (2021). </w:t>
      </w:r>
      <w:r>
        <w:rPr>
          <w:rFonts w:cs="Segoe UI"/>
          <w:sz w:val="20"/>
          <w:szCs w:val="20"/>
          <w:i/>
          <w:iCs/>
        </w:rPr>
        <w:t xml:space="preserve">Hukum pidana siber</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Djumhana, M., &amp; Djubaedillah, R. (2017). </w:t>
      </w:r>
      <w:r>
        <w:rPr>
          <w:rFonts w:cs="Segoe UI"/>
          <w:sz w:val="20"/>
          <w:szCs w:val="20"/>
          <w:i/>
          <w:iCs/>
        </w:rPr>
        <w:t xml:space="preserve">Hukum pembuktian dalam tindak pidana komputer</w:t>
      </w:r>
      <w:r>
        <w:rPr>
          <w:rFonts w:cs="Segoe UI"/>
          <w:sz w:val="20"/>
          <w:szCs w:val="20"/>
        </w:rPr>
        <w:t xml:space="preserve">. Citra Aditya Bakti.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Efendi, J. (2020). </w:t>
      </w:r>
      <w:r>
        <w:rPr>
          <w:rFonts w:cs="Segoe UI"/>
          <w:sz w:val="20"/>
          <w:szCs w:val="20"/>
          <w:i/>
          <w:iCs/>
        </w:rPr>
        <w:t xml:space="preserve">Kejahatan siber (cyber crime) dan penanganannya di Indonesia</w:t>
      </w:r>
      <w:r>
        <w:rPr>
          <w:rFonts w:cs="Segoe UI"/>
          <w:sz w:val="20"/>
          <w:szCs w:val="20"/>
        </w:rPr>
        <w:t xml:space="preserve">. Kencana.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Friedman, L. M. (1975). </w:t>
      </w:r>
      <w:r>
        <w:rPr>
          <w:rFonts w:cs="Segoe UI"/>
          <w:sz w:val="20"/>
          <w:szCs w:val="20"/>
          <w:i/>
          <w:iCs/>
        </w:rPr>
        <w:t xml:space="preserve">The legal system: A social science perspective</w:t>
      </w:r>
      <w:r>
        <w:rPr>
          <w:rFonts w:cs="Segoe UI"/>
          <w:sz w:val="20"/>
          <w:szCs w:val="20"/>
        </w:rPr>
        <w:t xml:space="preserve">. Russell Sage Foundation.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Harahap, M. Y. (2010). </w:t>
      </w:r>
      <w:r>
        <w:rPr>
          <w:rFonts w:cs="Segoe UI"/>
          <w:sz w:val="20"/>
          <w:szCs w:val="20"/>
          <w:i/>
          <w:iCs/>
        </w:rPr>
        <w:t xml:space="preserve">Pembahasan permasalahan dan penerapan KUHAP: Pembuktian dan pemeriksaan sidang</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Lamintang, P. A. F. (2011). </w:t>
      </w:r>
      <w:r>
        <w:rPr>
          <w:rFonts w:cs="Segoe UI"/>
          <w:sz w:val="20"/>
          <w:szCs w:val="20"/>
          <w:i/>
          <w:iCs/>
        </w:rPr>
        <w:t xml:space="preserve">Dasar-dasar hukum pidana Indonesia</w:t>
      </w:r>
      <w:r>
        <w:rPr>
          <w:rFonts w:cs="Segoe UI"/>
          <w:sz w:val="20"/>
          <w:szCs w:val="20"/>
        </w:rPr>
        <w:t xml:space="preserve">. Citra Aditya Bakti.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Marzuki, P. M. (2016). </w:t>
      </w:r>
      <w:r>
        <w:rPr>
          <w:rFonts w:cs="Segoe UI"/>
          <w:sz w:val="20"/>
          <w:szCs w:val="20"/>
          <w:i/>
          <w:iCs/>
        </w:rPr>
        <w:t xml:space="preserve">Penelitian hukum</w:t>
      </w:r>
      <w:r>
        <w:rPr>
          <w:rFonts w:cs="Segoe UI"/>
          <w:sz w:val="20"/>
          <w:szCs w:val="20"/>
        </w:rPr>
        <w:t xml:space="preserve">. Kencana.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Moeljatno. (2018). </w:t>
      </w:r>
      <w:r>
        <w:rPr>
          <w:rFonts w:cs="Segoe UI"/>
          <w:sz w:val="20"/>
          <w:szCs w:val="20"/>
          <w:i/>
          <w:iCs/>
        </w:rPr>
        <w:t xml:space="preserve">Asas-asas hukum pidana</w:t>
      </w:r>
      <w:r>
        <w:rPr>
          <w:rFonts w:cs="Segoe UI"/>
          <w:sz w:val="20"/>
          <w:szCs w:val="20"/>
        </w:rPr>
        <w:t xml:space="preserve">. Rineka Cipta.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Rahardjo, S. (2009). </w:t>
      </w:r>
      <w:r>
        <w:rPr>
          <w:rFonts w:cs="Segoe UI"/>
          <w:sz w:val="20"/>
          <w:szCs w:val="20"/>
          <w:i/>
          <w:iCs/>
        </w:rPr>
        <w:t xml:space="preserve">Penegakan hukum: Suatu tinjauan sosiologis</w:t>
      </w:r>
      <w:r>
        <w:rPr>
          <w:rFonts w:cs="Segoe UI"/>
          <w:sz w:val="20"/>
          <w:szCs w:val="20"/>
        </w:rPr>
        <w:t xml:space="preserve">. Genta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Soekanto, S. (2007). </w:t>
      </w:r>
      <w:r>
        <w:rPr>
          <w:rFonts w:cs="Segoe UI"/>
          <w:sz w:val="20"/>
          <w:szCs w:val="20"/>
          <w:i/>
          <w:iCs/>
        </w:rPr>
        <w:t xml:space="preserve">Pengantar penelitian hukum</w:t>
      </w:r>
      <w:r>
        <w:rPr>
          <w:rFonts w:cs="Segoe UI"/>
          <w:sz w:val="20"/>
          <w:szCs w:val="20"/>
        </w:rPr>
        <w:t xml:space="preserve">. UI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Soekanto, S. (2019). </w:t>
      </w:r>
      <w:r>
        <w:rPr>
          <w:rFonts w:cs="Segoe UI"/>
          <w:sz w:val="20"/>
          <w:szCs w:val="20"/>
          <w:i/>
          <w:iCs/>
        </w:rPr>
        <w:t xml:space="preserve">Sosiologi suatu pengantar</w:t>
      </w:r>
      <w:r>
        <w:rPr>
          <w:rFonts w:cs="Segoe UI"/>
          <w:sz w:val="20"/>
          <w:szCs w:val="20"/>
        </w:rPr>
        <w:t xml:space="preserve">. Rajawali Pers.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Putusan Pengadilan Negeri Makassar Nomor 1440/Pid.Sus/2025/PN Mks (2025).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Dasar Negara Republik Indonesia Tahun 1945.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19 Tahun 2016 tentang Perubahan atas Undang-Undang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2024 tentang Perubahan Kedua atas Undang-Undang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Benedikta Tandilino</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