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ns11="urn:schemas-microsoft-com:office:office" xmlns:ns4="http://schemas.microsoft.com/office/word/2010/wordprocessingDrawing" xmlns:ns8="http://schemas.microsoft.com/office/drawing/2010/main" xmlns:pic="http://schemas.openxmlformats.org/drawingml/2006/pictur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ns4:anchorId="1B08ECF7" ns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noChangeAspect="1"/>
            </wp:cNvGraphicFramePr>
            <a:graphic>
              <a:graphicData uri="http://schemas.openxmlformats.org/drawingml/2006/picture">
                <pic:pic>
                  <pic:nvPicPr>
                    <pic:cNvPr id="1470206167" name="Picture 1470206167"/>
                    <pic:cNvPicPr/>
                  </pic:nvPicPr>
                  <pic:blipFill>
                    <a:blip r:embed="rId8" cstate="print">
                      <a:extLst>
                        <a:ext uri="{28A0092B-C50C-407E-A947-70E740481C1C}">
                          <ns8:useLocalDpi val="0"/>
                        </a:ext>
                      </a:extLst>
                    </a:blip>
                    <a:stretch>
                      <a:fillRect/>
                    </a:stretch>
                  </pic:blipFill>
                  <pic:spPr>
                    <a:xfrm>
                      <a:off x="0" y="0"/>
                      <a:ext cx="1019175" cy="1130935"/>
                    </a:xfrm>
                    <a:prstGeom prst="rect">
                      <a:avLst/>
                    </a:prstGeom>
                  </pic:spPr>
                </pic:pic>
              </a:graphicData>
            </a:graphic>
            <ns4:sizeRelH relativeFrom="margin">
              <ns4:pctWidth>0</ns4:pctWidth>
            </ns4:sizeRelH>
            <ns4:sizeRelV relativeFrom="margin">
              <ns4:pctHeight>0</ns4:pctHeight>
            </ns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ns4:anchorId="5A661B6C" ns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noChangeAspect="1"/>
            </wp:cNvGraphicFramePr>
            <a:graphic>
              <a:graphicData uri="http://schemas.openxmlformats.org/drawingml/2006/picture">
                <pic:pic>
                  <pic:nvPicPr>
                    <pic:cNvPr id="1491302423" name="Picture 1491302423"/>
                    <pic:cNvPicPr/>
                  </pic:nvPicPr>
                  <pic:blipFill>
                    <a:blip r:embed="rId9">
                      <a:extLst>
                        <a:ext uri="{28A0092B-C50C-407E-A947-70E740481C1C}">
                          <ns8:useLocalDpi val="0"/>
                        </a:ext>
                      </a:extLst>
                    </a:blip>
                    <a:stretch>
                      <a:fillRect/>
                    </a:stretch>
                  </pic:blipFill>
                  <pic:spPr>
                    <a:xfrm>
                      <a:off x="0" y="0"/>
                      <a:ext cx="939800" cy="880110"/>
                    </a:xfrm>
                    <a:prstGeom prst="rect">
                      <a:avLst/>
                    </a:prstGeom>
                  </pic:spPr>
                </pic:pic>
              </a:graphicData>
            </a:graphic>
            <ns4:sizeRelH relativeFrom="margin">
              <ns4:pctWidth>0</ns4:pctWidth>
            </ns4:sizeRelH>
            <ns4:sizeRelV relativeFrom="margin">
              <ns4:pctHeight>0</ns4:pctHeight>
            </ns4:sizeRelV>
          </wp:anchor>
        </w:drawing>
        <mc:AlternateContent>
          <mc:Choice Requires="wps">
            <w:drawing>
              <wp:anchor distT="0" distB="0" distL="114300" distR="114300" simplePos="0" relativeHeight="251659264" behindDoc="0" locked="0" layoutInCell="1" allowOverlap="1" ns4:anchorId="4607559D" ns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ns4:sizeRelV relativeFrom="margin">
                  <ns4:pctHeight>0</ns4:pctHeight>
                </ns4:sizeRelV>
              </wp:anchor>
            </w:drawing>
          </mc:Choice>
          <mc:Fallback>
            <w:pict>
              <v:line w14:anchorId="2D52145E" id="Straight Connector 1" ns11: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ns11: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ns4:anchorId="2D9566A5" ns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ns4:sizeRelH relativeFrom="margin">
                  <ns4:pctWidth>0</ns4:pctWidth>
                </ns4:sizeRelH>
                <ns4:sizeRelV relativeFrom="margin">
                  <ns4:pctHeight>0</ns4:pctHeight>
                </ns4:sizeRelV>
              </wp:anchor>
            </w:drawing>
          </mc:Choice>
          <mc:Fallback>
            <w:pict>
              <v:line w14:anchorId="2AE7FE06" id="Straight Connector 5" ns11: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ns11: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Urgensi dan Landasan Naskah Akademik dalam Pembentukan Peraturan Daerah Provinsi Papua Tengah</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Aten Waine</w:t>
      </w:r>
      <w:r>
        <w:rPr>
          <w:rFonts w:cs="Segoe UI"/>
          <w:b/>
          <w:bCs/>
          <w:sz w:val="24"/>
          <w:szCs w:val="24"/>
          <w:lang w:val="fi-FI"/>
          <w:vertAlign w:val="superscript"/>
        </w:rPr>
        <w:t>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fi-FI"/>
        </w:rPr>
        <w:t xml:space="preserve">aten@ukipaulus.ac.id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academic paper, regional regulation, responsive law, public participation, legal drafting, Central Papua</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naskah akademik, peraturan daerah, hukum responsif, partisipasi masyarakat, legislasi daerah, Papua Tengah</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 xml:space="preserve">Abstract: </w:t>
            </w:r>
            <w:r>
              <w:rPr>
                <w:rFonts w:cs="Segoe UI"/>
                <w:i/>
                <w:iCs/>
                <w:sz w:val="20"/>
                <w:szCs w:val="20"/>
              </w:rPr>
              <w:t xml:space="preserve">An academic paper is the scientific foundation that precedes the drafting of a regional regulation, yet in practice it is often treated as an administrative formality. This study examines the urgency of the academic paper and the foundations it must satisfy, using the drafting of Central Papua Provincial Regulation Number 2 of 2025 on the Formation and Composition of Regional Apparatus as its object. The research is normative-empirical, combining statutory and case approaches with interviews conducted in Central Papua Province, and the material is analysed qualitatively and descriptively. The study finds, first, that the academic paper is urgent on four grounds: it harmonises state law with living law, provides a real channel for public participation, guarantees that the substance of the draft rests on systematic scholarly reasoning, and serves as a policy document for public oversight. Second, an ideal academic paper must satisfy philosophical, juridical, sociological, and ius constitutum-ius constituendum foundations. In the object examined, the philosophical and juridical foundations are met, while the sociological foundation is met only in part because participation remains confined to the socialisation stage. Statutory regulation and genuine participation are therefore needed.</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 xml:space="preserve">Abstrak: </w:t>
            </w:r>
            <w:r>
              <w:rPr>
                <w:rFonts w:eastAsia="Times New Roman" w:cs="Segoe UI"/>
                <w:iCs/>
                <w:sz w:val="20"/>
                <w:szCs w:val="20"/>
              </w:rPr>
              <w:t xml:space="preserve">Naskah akademik merupakan landasan ilmiah yang mendahului penyusunan peraturan daerah, namun dalam praktik kerap diperlakukan sebagai formalitas administratif. Penelitian ini mengkaji urgensi naskah akademik dan landasan-landasan yang harus dipenuhinya, dengan objek pembentukan Peraturan Daerah Provinsi Papua Tengah Nomor 2 Tahun 2025 tentang Pembentukan dan Susunan Perangkat Daerah. Penelitian bersifat normatif-empiris dengan pendekatan perundang-undangan dan pendekatan kasus, didukung wawancara di Provinsi Papua Tengah, serta dianalisis secara kualitatif-deskriptif. Hasil penelitian menunjukkan, pertama, naskah akademik bersifat urgen atas empat alasan, yaitu sebagai sarana harmonisasi hukum negara dengan hukum yang hidup dalam masyarakat, media nyata partisipasi masyarakat, penjamin bahwa substansi rancangan bertumpu pada pemikiran ilmiah yang sistematis, dan dokumen kebijakan bagi kontrol masyarakat. Kedua, naskah akademik yang ideal harus memenuhi landasan filosofis, yuridis, sosiologis, serta ius constitutum dan ius constituendum. Pada objek yang diteliti, landasan filosofis dan yuridis telah terpenuhi, sedangkan landasan sosiologis baru terpenuhi sebagian karena partisipasi masih terbatas pada tahap sosialisasi rancangan.</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 xml:space="preserve">Informasi Artikel:  Diterima: 11-08-2026, Disetujui: -, Dipublikasikan: -</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Pasal 1 ayat (3) Undang-Undang Dasar Negara Republik Indonesia Tahun 1945 menegaskan bahwa Negara Indonesia adalah negara hukum. Konsekuensi dari penegasan itu adalah bahwa seluruh aspek kehidupan kemasyarakatan, kebangsaan, dan kenegaraan, termasuk penyelenggaraan pemerintahan, harus berdasar pada hukum yang tertata dalam satu sistem hukum nasional. Sistem tersebut diwujudkan terutama melalui hukum tertulis berupa peraturan perundang-undangan, sehingga mutu peraturan perundang-undangan menjadi ukuran yang menentukan bagi kualitas negara hukum itu sendiri.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Pada tataran daerah, Pasal 18 ayat (6) Undang-Undang Dasar 1945 memberikan hak kepada pemerintahan daerah untuk menetapkan peraturan daerah dan peraturan-peraturan lain guna melaksanakan otonomi dan tugas pembantuan. Peraturan daerah karena itu merupakan instrumen hukum pemerintah daerah dalam melaksanakan kebijakan pemerintah pusat sekaligus kebijakan daerah sendiri, berfungsi menyelenggarakan otonomi daerah dan tugas pembantuan, menampung kondisi khusus daerah, serta menjabarkan lebih lanjut peraturan perundang-undangan di atasnya (Astawa &amp; Na'a, 2008). Undang-Undang Nomor 23 Tahun 2014 tentang Pemerintahan Daerah memperkuat kedudukan tersebut dengan menempatkan legislasi daerah dalam kerangka peningkatan kesejahteraan masyarakat dengan memperhatikan aspirasi yang tumbuh di dalamnya.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Salah satu tahap yang menentukan mutu peraturan daerah terletak pada perencanaan, yang diawali dengan penyusunan naskah akademik. Pasal 1 angka 11 Undang-Undang Nomor 12 Tahun 2011 tentang Pembentukan Peraturan Perundang-undangan merumuskan naskah akademik sebagai naskah hasil penelitian atau pengkajian hukum dan hasil penelitian lainnya terhadap suatu masalah tertentu yang dapat dipertanggungjawabkan secara ilmiah sebagai solusi terhadap permasalahan dan kebutuhan hukum masyarakat. Rumusan tersebut diadopsi kembali dalam Pasal 1 angka 20 Peraturan Menteri Dalam Negeri Nomor 80 Tahun 2015 tentang Pembentukan Produk Hukum Daerah, sedangkan Pasal 33 ayat (3) undang-undang yang sama mewajibkan agar materi yang telah melalui pengkajian dan penyelarasan dituangkan dalam naskah akademik.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ini mengambil objek pembentukan Peraturan Daerah Provinsi Papua Tengah Nomor 2 Tahun 2025 tentang Pembentukan dan Susunan Perangkat Daerah beserta naskah akademik rancangannya. Sebagai daerah otonom baru, Provinsi Papua Tengah berada pada tahap awal pembangunan tatanan hukum daerahnya, sehingga penataan kelembagaan perangkat daerah merupakan salah satu peraturan daerah yang paling menentukan bagi berjalannya seluruh urusan pemerintahan berikutnya. Kualitas naskah akademik pada tahap ini karena itu memiliki dampak yang jauh melampaui satu peraturan daerah saja, sebab susunan perangkat daerah menentukan lembaga mana yang kelak berwenang menyiapkan, melaksanakan, dan mengawasi peraturan daerah berikutnya. Kekeliruan pada tahap perencanaan tidak berhenti pada satu norma, melainkan menetap dalam struktur kelembagaan yang menjalankan seluruh urusan pemerintahan daerah.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Persoalannya, pembentukan peraturan daerah di Indonesia masih sering berlangsung tanpa perencanaan yang memadai. Kondisi tersebut ditandai oleh masih banyaknya peraturan daerah bermasalah karena substansinya kontroversial, rancu, tumpang tindih, dan tidak konsisten baik secara vertikal maupun horizontal; belum tampaknya komitmen dan karakter yang responsif terhadap perkembangan hak asasi manusia, masyarakat lemah dan marginal, serta nilai keadilan gender; dan proses pembentukan yang kurang aspiratif serta partisipatif (Setiadi, 2011). Naskah akademik yang seharusnya menjadi penyaring atas ketiga kelemahan itu justru sering diperlakukan sebagai kelengkapan administratif yang disusun setelah materi rancangan lebih dahulu ditetapkan. Akibatnya, dokumen yang semestinya menuntun perumusan norma berubah menjadi dokumen yang membenarkan norma yang telah dirumuskan, sehingga fungsi pengkajiannya kehilangan makna sejak awal.</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Sejumlah penelitian terdahulu telah menyoroti persoalan ini dari sisi yang berlainan. Yasin dan Amaliyah (2022) menegaskan urgensi naskah akademik bagi terbentuknya peraturan daerah yang partisipatif, sedangkan Sofwan (2022) memusatkan perhatian pada partisipasi publik dalam pembentukan peraturan daerah. Chandra SY dan Irawan (2022) menelaah perluasan makna partisipasi masyarakat pasca Putusan Mahkamah Konstitusi Nomor 91/PUU-XVIII/2020, Pratama (2022) mengkaji konsep meaningful participation sebagai kompromi atas cita hukum, Dondokambey (2023) menerapkan prinsip tersebut secara khusus pada pembentukan peraturan daerah, dan Hafani dkk. (2025) menilai kebutuhan pembaruan Undang-Undang Nomor 12 Tahun 2011.</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Berbeda dengan penelitian-penelitian tersebut yang umumnya berhenti pada tataran normatif atau pada isu partisipasi secara umum, penelitian ini mempertemukan pengujian urgensi naskah akademik dengan pengujian keterpenuhan landasan-landasannya pada satu objek konkret di daerah otonom baru. Ruang kajian yang tersisa terletak pada pertanyaan lanjutan yang jarang dijawab, yaitu apakah naskah akademik yang secara formal telah memenuhi landasan filosofis dan yuridis dengan sendirinya memenuhi landasan sosiologis, atau justru menyisakan kesenjangan pada tahap pelibatan masyarakat.</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uraian tersebut, penelitian ini bertujuan untuk mengetahui dan menganalisis urgensi naskah akademik dalam sebuah peraturan daerah, serta untuk mengetahui dan menganalisis landasan-landasan yang harus dipenuhi dalam pembentukan naskah akademik.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teoretis, penelitian ini diharapkan memberi kontribusi bagi pengembangan ilmu perundang-undangan dan sosiologi hukum, khususnya mengenai kedudukan naskah akademik dalam pembentukan peraturan daerah yang responsif. Secara praktis, temuan penelitian dapat menjadi masukan bagi pemerintah daerah dan Dewan Perwakilan Rakyat Daerah, khususnya di daerah otonom baru, dalam menempatkan naskah akademik sebagai instrumen perencanaan yang sungguh-sungguh dijalankan, bukan sekadar dokumen pelengkap rancangan peraturan daerah.</w:t>
      </w:r>
    </w:p>
    <w:p w14:paraId="1382B788" w14:textId="468BF956" w:rsidR="001E0508" w:rsidRPr="001C62FB" w:rsidRDefault="001C62FB" w:rsidP="00955050">
      <w:pPr>
        <w:pStyle w:val="Heading3"/>
        <w:ind w:left="1134" w:right="322" w:hanging="425"/>
      </w:pPr>
      <w:r>
        <w:t xml:space="preserve">METODOLOGI PENELITIAN </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ini menguraikan cara penelitian dilakukan sehingga hasil yang diperoleh dapat ditelusuri dan diuji kembali. Uraian difokuskan pada jenis dan pendekatan penelitian, lokasi serta sumber data, teknik pengumpulan data, teknik analisis, dan batas-batas keberlakuan simpulan yang ditarik.</w:t>
      </w:r>
    </w:p>
    <w:p w14:paraId="554F5361" w14:textId="5C7D14CE" w:rsidR="001C62FB" w:rsidRPr="00955050" w:rsidRDefault="001C62FB" w:rsidP="00955050">
      <w:pPr>
        <w:pStyle w:val="Heading2"/>
        <w:ind w:right="322"/>
        <w:rPr>
          <w:rStyle w:val="mediumtext"/>
        </w:rPr>
      </w:pPr>
      <w:r>
        <w:rPr>
          <w:rStyle w:val="mediumtext"/>
        </w:rPr>
        <w:t xml:space="preserve">2.1 Jenis dan Pendekatan Penelitian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Jenis penelitian yang digunakan adalah penelitian hukum normatif-empiris. Sisi normatif ditempuh dengan menelaah norma yang mengatur pembentukan peraturan perundang-undangan dan produk hukum daerah, sedangkan sisi empiris ditempuh dengan menghimpun keterangan dari pihak-pihak yang berada di luar lingkungan pembentuk peraturan daerah mengenai keterlibatan masyarakat dalam penyusunan naskah akademik. Penelitian disusun dalam bentuk pendapat hukum atau legal memorandum, yaitu kajian yang diarahkan untuk memberikan penilaian hukum atas persoalan konkret.</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Dua pendekatan digunakan secara bersamaan. Pendekatan perundang-undangan (statute approach) dipakai untuk menelaah keterkaitan antara Undang-Undang Dasar 1945, Undang-Undang Nomor 12 Tahun 2011 beserta perubahannya, Undang-Undang Nomor 23 Tahun 2014, dan Peraturan Menteri Dalam Negeri Nomor 80 Tahun 2015. Pendekatan kasus (case approach) dipakai untuk menelaah naskah akademik rancangan peraturan daerah tentang pembentukan dan susunan perangkat daerah Provinsi Papua Tengah, serta Putusan Mahkamah Konstitusi Nomor 91/PUU-XVIII/2020 sebagai rujukan tolok ukur partisipasi.</w:t>
      </w:r>
    </w:p>
    <w:p w14:paraId="554F5361" w14:textId="5C7D14CE" w:rsidR="001C62FB" w:rsidRPr="00955050" w:rsidRDefault="001C62FB" w:rsidP="00955050">
      <w:pPr>
        <w:pStyle w:val="Heading2"/>
        <w:ind w:right="322"/>
        <w:rPr>
          <w:rStyle w:val="mediumtext"/>
        </w:rPr>
      </w:pPr>
      <w:r>
        <w:rPr>
          <w:rStyle w:val="mediumtext"/>
        </w:rPr>
        <w:t xml:space="preserve">2.2 Lokasi, Jenis, dan Sumber Data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dilaksanakan di Provinsi Papua Tengah, dengan pertimbangan bahwa provinsi tersebut merupakan daerah otonom baru yang sedang menyusun tatanan hukum daerahnya, sehingga proses pembentukan peraturan daerah masih dapat diamati pada tahap-tahap awalnya. Peraturan daerah mengenai pembentukan dan susunan perangkat daerah dipilih sebagai objek karena merupakan salah satu peraturan daerah pertama yang harus dibentuk oleh daerah otonom baru dan karenanya paling jelas memperlihatkan bagaimana tahap perencanaan dijalankan ketika belum terdapat preseden legislasi di daerah yang bersangkutan.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Data primer diperoleh secara langsung dari lokasi penelitian melalui wawancara dengan narasumber yang berkaitan dengan objek penelitian, yaitu unsur tokoh masyarakat dan unsur lembaga swadaya masyarakat, serta keterangan dari unsur Dewan Perwakilan Rakyat Daerah mengenai kajian landasan yuridis dalam naskah akademik. Pemilihan narasumber diarahkan pada pihak yang menjadi sasaran pelibatan, bukan semata pada pihak pembentuk peraturan daerah, agar keterangan yang diperoleh dapat menguji klaim keterpenuhan partisipasi dari sisi penerima kebijakan. Data sekunder berupa peraturan perundang-undangan, dokumen naskah akademik, buku, dan artikel ilmiah yang berkaitan dengan pembentukan produk hukum daerah.</w:t>
      </w:r>
    </w:p>
    <w:p w14:paraId="554F5361" w14:textId="5C7D14CE" w:rsidR="001C62FB" w:rsidRPr="00955050" w:rsidRDefault="001C62FB" w:rsidP="00955050">
      <w:pPr>
        <w:pStyle w:val="Heading2"/>
        <w:ind w:right="322"/>
        <w:rPr>
          <w:rStyle w:val="mediumtext"/>
        </w:rPr>
      </w:pPr>
      <w:r>
        <w:rPr>
          <w:rStyle w:val="mediumtext"/>
        </w:rPr>
        <w:t xml:space="preserve">2.3 Teknik Pengumpulan Data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Pengumpulan data dilakukan dengan dua teknik. Pertama, teknik wawancara, yaitu pengumpulan data melalui komunikasi langsung dengan narasumber, yang didahului penyusunan pedoman pertanyaan agar keterangan yang diperoleh terarah pada dua isu penelitian. Kedua, penelitian kepustakaan (library research), yaitu studi terhadap bahan hukum primer, bahan hukum sekunder, dan bahan hukum tersier. Terhadap setiap ketentuan yang dikutip dilakukan pemeriksaan nomor, tahun, dan rumusan pasalnya agar sesuai dengan teks resminya. Wawancara dan studi kepustakaan dijalankan secara berurutan dan berulang: penelusuran bahan hukum dilakukan lebih dahulu untuk menetapkan hal-hal yang perlu dikonfirmasi, kemudian keterangan narasumber dipakai untuk menguji hal-hal tersebut, dan temuan wawancara dikembalikan lagi pada bahan hukum untuk memastikan penilaian yang ditarik memiliki dasar normatif.</w:t>
      </w:r>
    </w:p>
    <w:p w14:paraId="554F5361" w14:textId="5C7D14CE" w:rsidR="001C62FB" w:rsidRPr="00955050" w:rsidRDefault="001C62FB" w:rsidP="00955050">
      <w:pPr>
        <w:pStyle w:val="Heading2"/>
        <w:ind w:right="322"/>
        <w:rPr>
          <w:rStyle w:val="mediumtext"/>
        </w:rPr>
      </w:pPr>
      <w:r>
        <w:rPr>
          <w:rStyle w:val="mediumtext"/>
        </w:rPr>
        <w:t xml:space="preserve">2.4 Teknik Analisis Data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Seluruh data primer dan sekunder dianalisis secara kualitatif dan disajikan secara deskriptif-analitis. Analisis atas norma dilakukan melalui penafsiran gramatikal dan penafsiran sistematis, sedangkan analisis atas keterangan narasumber dilakukan dengan menempatkannya sebagai fakta empiris yang diuji dengan norma dan konsep yang berlaku, bukan sebagai pendapat yang berdiri sendiri.</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Keterangan narasumber dan bahan hukum diperlakukan secara berbeda dalam analisis. Bahan hukum digunakan untuk menetapkan tolok ukur yang seharusnya berlaku, sedangkan keterangan narasumber digunakan untuk menguji apakah tolok ukur tersebut benar-benar bekerja dalam praktik. Dengan pemisahan itu, kesimpulan mengenai keterpenuhan suatu landasan tidak ditarik semata dari ada atau tidaknya uraian dalam dokumen naskah akademik, melainkan dari kesesuaian antara uraian dokumen dan pengalaman pihak yang seharusnya dilibatkan.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Sebagai tolok ukur pengujian digunakan empat landasan yang harus dipenuhi naskah akademik, yaitu landasan filosofis, landasan yuridis dalam arti formil dan materil sebagaimana dibedakan Ruslan (2013), landasan sosiologis, serta landasan ius constitutum dan ius constituendum sebagaimana dibedakan Purbacaraka dan Soekanto (1980). Khusus untuk landasan sosiologis, tolok ukur dipertajam dengan tiga unsur partisipasi yang bermakna dalam Putusan Mahkamah Konstitusi Nomor 91/PUU-XVIII/2020, yaitu hak untuk didengar, hak untuk dipertimbangkan, dan hak untuk memperoleh penjelasan.</w:t>
      </w:r>
    </w:p>
    <w:p w14:paraId="554F5361" w14:textId="5C7D14CE" w:rsidR="001C62FB" w:rsidRPr="00955050" w:rsidRDefault="001C62FB" w:rsidP="00955050">
      <w:pPr>
        <w:pStyle w:val="Heading2"/>
        <w:ind w:right="322"/>
        <w:rPr>
          <w:rStyle w:val="mediumtext"/>
        </w:rPr>
      </w:pPr>
      <w:r>
        <w:rPr>
          <w:rStyle w:val="mediumtext"/>
        </w:rPr>
        <w:t xml:space="preserve">2.5 Tahapan dan Batas Analisis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Analisis ditempuh dalam tiga tahap. Tahap pertama adalah inventarisasi norma yang mengatur kedudukan naskah akademik dalam pembentukan produk hukum daerah beserta perkembangan pengaturannya. Tahap kedua adalah pengujian, yaitu menilai keterpenuhan setiap landasan pada naskah akademik yang menjadi objek penelitian dengan tolok ukur yang telah ditetapkan. Tahap ketiga adalah penarikan simpulan hukum dan perumusan rekomendasi yang dibatasi pada hal-hal yang dapat diturunkan langsung dari hasil pengujian.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ini tidak melakukan pengukuran kuantitatif atas tingkat partisipasi masyarakat dan tidak menilai materi muatan Peraturan Daerah Provinsi Papua Tengah Nomor 2 Tahun 2025 pasal demi pasal. Keterangan narasumber diperlakukan sebagai data yang menggambarkan pengalaman pihak yang diwawancarai, sehingga simpulan mengenai landasan sosiologis dibatasi pada objek dan periode yang diteliti dan tidak digeneralisasi untuk seluruh peraturan daerah.</w:t>
      </w:r>
    </w:p>
    <w:p w14:paraId="12B5585A" w14:textId="6E9841B4" w:rsidR="001E0508" w:rsidRPr="001C62FB" w:rsidRDefault="006F0069" w:rsidP="006F0069">
      <w:pPr>
        <w:pStyle w:val="Heading3"/>
        <w:ind w:left="1134" w:hanging="283"/>
      </w:pPr>
      <w:r>
        <w:rPr>
          <w:iCs/>
        </w:rPr>
        <w:t>HASIL DA</w:t>
      </w:r>
      <w:r>
        <w:t>N PEMBAHASAN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ini menyajikan temuan penelitian sekaligus analisisnya secara terpadu, disusun mengikuti dua rumusan masalah, yaitu urgensi naskah akademik dalam sebuah peraturan daerah, serta landasan-landasan yang harus dipenuhi dalam pembentukan naskah akademik.</w:t>
      </w:r>
    </w:p>
    <w:p w14:paraId="554F5361" w14:textId="5C7D14CE" w:rsidR="001C62FB" w:rsidRPr="00955050" w:rsidRDefault="001C62FB" w:rsidP="00955050">
      <w:pPr>
        <w:pStyle w:val="Heading2"/>
        <w:ind w:right="322"/>
        <w:rPr>
          <w:rStyle w:val="mediumtext"/>
        </w:rPr>
      </w:pPr>
      <w:r>
        <w:rPr>
          <w:rStyle w:val="mediumtext"/>
        </w:rPr>
        <w:t xml:space="preserve">3.1 Urgensi Naskah Akademik dalam Pembentukan Peraturan Daerah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Kedudukan naskah akademik dalam sistem hukum Indonesia tidak lahir sekaligus, melainkan terbentuk melalui rangkaian pengaturan yang makin mengikat. Istilah tersebut secara baku digulirkan pada tahun 1994 melalui Keputusan Kepala Badan Pembinaan Hukum Nasional Nomor G-159.PR.09.10 Tahun 1994, yang memaknainya sebagai naskah awal memuat pengaturan materi perundang-undangan bidang tertentu yang telah ditinjau secara sistemik, holistik, dan futuristik. Perkembangan pengaturan selanjutnya disajikan pada Tabel 1. Pergeseran yang tampak dari rangkaian tersebut bersifat mendasar, yaitu dari kebolehan menjadi kewajiban, dan dari lingkup undang-undang menjadi mencakup rancangan peraturan daerah provinsi maupun kabupaten/kota.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Pergeseran itu tidak terjadi tanpa sebab. Pencantuman naskah akademik tidak dapat dilepaskan dari kenyataan banyaknya peraturan yang tidak dapat diterima masyarakat sehingga tidak berjalan efektif, bahkan ada yang belum lama diundangkan sudah harus direvisi atau dibatalkan. Secara yuridis, naskah akademik berkedudukan sebagai bahan awal (first draft) bagi perancangan rancangan peraturan daerah, sehingga mutu rancangan sangat ditentukan oleh cara penyusunannya. Berdasarkan temuan penelitian, urgensi naskah akademik dapat diuraikan dalam empat alasan yang saling berkaitan.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Pertama, naskah akademik berfungsi sebagai sarana harmonisasi antara hukum negara (state law) dan hukum yang hidup dalam masyarakat (living law). Sifat pembentukan peraturan perundang-undangan yang legal sentralistik dan legal formalistik perlahan mengurangi eksistensi hukum yang hidup dalam masyarakat, padahal hukum pada dasarnya merupakan produk kebudayaan dan masyarakat (Friedman, 1975) dan menurut Ehrlich justru bekerja sebagai the living law (Cotterrell, 1995). Jika dikaitkan dengan pandangan Roscoe Pound bahwa hukum dapat ditemukan sekaligus diciptakan dengan cermat (Pound, 1989), maka penyusunan naskah akademik merupakan tahap ketika hukum yang telah hidup dalam masyarakat ditemukan lebih dahulu sebelum hukum baru diciptakan. Tanpa tahap tersebut, pembentukan peraturan daerah berlangsung sepenuhnya dari atas ke bawah dan kehilangan pijakan sosialnya.</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Kedua, naskah akademik merupakan media nyata partisipasi masyarakat. Ruang publik dalam pembentukan peraturan daerah hanya menjadi nyata apabila terdapat dokumen yang dapat dibaca, ditanggapi, dan diperdebatkan sebelum rumusan pasal ditetapkan. Menurut analisis penulis, di sinilah letak perbedaan yang menentukan antara sosialisasi dan partisipasi: sosialisasi menempatkan masyarakat sebagai penerima informasi atas rumusan yang telah jadi, sedangkan partisipasi menempatkan masyarakat sebagai pihak yang turut menentukan rumusan itu. Pembedaan tersebut memperoleh dasar konstitusionalnya dalam Putusan Mahkamah Konstitusi Nomor 91/PUU-XVIII/2020 yang merumuskan partisipasi yang bermakna sebagai hak untuk didengar, hak untuk dipertimbangkan, dan hak untuk memperoleh penjelasan (Chandra SY &amp; Irawan, 2022; Pratama, 2022).</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Ketiga, naskah akademik menjamin bahwa substansi rancangan bertumpu pada pemikiran ilmiah yang sistematis dan komprehensif. Kekuatan dan kedudukan strategis naskah akademik justru terletak pada kebenaran ilmiah hasil pengkajiannya, karena naskah tersebut disusun sebagai hasil kegiatan penelitian yang bersifat akademik. Konsekuensinya, pertimbangan yang mendasari sebuah peraturan daerah tidak semata-mata bersifat politis, melainkan mencakup pula pertimbangan yuridis, sosiologis, ekonomis, budaya, dan filosofis, termasuk perkiraan akibat yang akan timbul seperti beban keuangan daerah.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Keempat, naskah akademik berkedudukan sebagai dokumen kebijakan (policy paper) yang memungkinkan kontrol masyarakat terhadap pelaksanaan peraturan daerah. Sebagai dokumen yang menjembatani komunikasi antara pembuat kebijakan, perancang, dan pemangku kepentingan, naskah akademik menyimpan alasan mengapa suatu norma dipilih, sehingga masyarakat dapat menguji apakah pelaksanaan peraturan daerah masih sejalan dengan alasan pembentukannya. Fungsi ini melengkapi Program Pembentukan Peraturan Daerah, yang menurut Pasal 32 dan Pasal 39 Undang-Undang Nomor 12 Tahun 2011 disusun secara terencana, terpadu, dan sistematis agar pembentukan peraturan daerah berjalan menurut skala prioritas serta sinkron secara vertikal dan horizontal (Mahendra, 2006).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Keempat alasan tersebut menunjukkan bahwa kedudukan naskah akademik bukan sekadar kelengkapan administratif, melainkan prasyarat mutu. Temuan tersebut sejalan dengan Yasin dan Amaliyah (2022) serta Sofwan (2022) yang menempatkan naskah akademik sebagai penentu sifat partisipatif suatu peraturan daerah, dan menjelaskan mengapa pembentukan peraturan daerah Provinsi Papua Tengah perlu diteliti justru dari sisi naskah akademiknya.</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Pr>
          <w:rFonts w:eastAsia="Constantia" w:cs="Segoe UI"/>
          <w:b/>
          <w:bCs/>
          <w:sz w:val="20"/>
          <w:szCs w:val="20"/>
          <w:lang w:val="en-US"/>
        </w:rPr>
        <w:t xml:space="preserve">Tabel 1. </w:t>
      </w:r>
      <w:r>
        <w:rPr>
          <w:rFonts w:eastAsia="Constantia" w:cs="Segoe UI"/>
          <w:sz w:val="18"/>
          <w:szCs w:val="18"/>
          <w:lang w:val="en-US"/>
        </w:rPr>
        <w:t xml:space="preserve"/>
      </w:r>
      <w:r>
        <w:rPr>
          <w:rFonts w:eastAsia="Constantia" w:cs="Segoe UI"/>
          <w:sz w:val="20"/>
          <w:szCs w:val="20"/>
          <w:lang w:val="en-US"/>
        </w:rPr>
        <w:t>Perkembangan Pengaturan Naskah Akademik dalam Pembentukan Peraturan Perundang-undangan</w:t>
      </w:r>
    </w:p>
    <w:tbl>
      <w:tblPr>
        <w:tblW w:w="0" w:type="auto"/>
        <w:jc w:val="center"/>
        <w:tblCellMar>
          <w:top w:w="30" w:type="dxa"/>
          <w:left w:w="60" w:type="dxa"/>
          <w:bottom w:w="30" w:type="dxa"/>
          <w:right w:w="60" w:type="dxa"/>
        </w:tblCellMar>
        <w:tblLook w:val="04A0" w:firstRow="1" w:lastRow="0" w:firstColumn="1" w:lastColumn="0" w:noHBand="0" w:noVBand="1"/>
      </w:tblPr>
      <w:tblGrid>
        <w:gridCol w:w="2200"/>
        <w:gridCol w:w="3400"/>
        <w:gridCol w:w="1800"/>
      </w:tblGrid>
      <w:tr>
        <w:trPr>
          <w:cantSplit/>
          <w:tblHeader/>
          <w:jc w:val="center"/>
        </w:trPr>
        <w:tc>
          <w:tcPr>
            <w:tcW w:w="22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Instrumen Hukum</w:t>
            </w:r>
          </w:p>
        </w:tc>
        <w:tc>
          <w:tcPr>
            <w:tcW w:w="34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Ketentuan Pokok mengenai Naskah Akademik</w:t>
            </w:r>
          </w:p>
        </w:tc>
        <w:tc>
          <w:tcPr>
            <w:tcW w:w="1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Sifat Kewajiban</w:t>
            </w:r>
          </w:p>
        </w:tc>
      </w:tr>
      <w:tr>
        <w:trPr>
          <w:cantSplit/>
          <w:jc w:val="center"/>
        </w:trPr>
        <w:tc>
          <w:tcPr>
            <w:tcW w:w="22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Keputusan Kepala BPHN No. G-159.PR.09.10 Tahun 1994</w:t>
            </w:r>
          </w:p>
        </w:tc>
        <w:tc>
          <w:tcPr>
            <w:tcW w:w="34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Merumuskan naskah akademik sebagai naskah awal yang ditinjau secara sistemik, holistik, dan futuristik</w:t>
            </w:r>
          </w:p>
        </w:tc>
        <w:tc>
          <w:tcPr>
            <w:tcW w:w="1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Petunjuk teknis</w:t>
            </w:r>
          </w:p>
        </w:tc>
      </w:tr>
      <w:tr>
        <w:trPr>
          <w:cantSplit/>
          <w:jc w:val="center"/>
        </w:trPr>
        <w:tc>
          <w:tcPr>
            <w:tcW w:w="22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Keputusan Presiden No. 188 Tahun 1998</w:t>
            </w:r>
          </w:p>
        </w:tc>
        <w:tc>
          <w:tcPr>
            <w:tcW w:w="34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3 ayat (1): pemrakarsa dapat terlebih dahulu menyusun naskah akademik rancangan undang-undang</w:t>
            </w:r>
          </w:p>
        </w:tc>
        <w:tc>
          <w:tcPr>
            <w:tcW w:w="1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Fakultatif</w:t>
            </w:r>
          </w:p>
        </w:tc>
      </w:tr>
      <w:tr>
        <w:trPr>
          <w:cantSplit/>
          <w:jc w:val="center"/>
        </w:trPr>
        <w:tc>
          <w:tcPr>
            <w:tcW w:w="22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Peraturan Presiden No. 68 Tahun 2005</w:t>
            </w:r>
          </w:p>
        </w:tc>
        <w:tc>
          <w:tcPr>
            <w:tcW w:w="34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1 angka 7 dan Pasal 5: definisi naskah akademik dan kebolehan penyusunannya oleh pemrakarsa</w:t>
            </w:r>
          </w:p>
        </w:tc>
        <w:tc>
          <w:tcPr>
            <w:tcW w:w="1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Fakultatif</w:t>
            </w:r>
          </w:p>
        </w:tc>
      </w:tr>
      <w:tr>
        <w:trPr>
          <w:cantSplit/>
          <w:jc w:val="center"/>
        </w:trPr>
        <w:tc>
          <w:tcPr>
            <w:tcW w:w="22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Permenkumham No. M.HH-01.PP.01.01 Tahun 2008</w:t>
            </w:r>
          </w:p>
        </w:tc>
        <w:tc>
          <w:tcPr>
            <w:tcW w:w="34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Naskah akademik sekurang-kurangnya memuat dasar filosofis, yuridis, sosiologis, serta pokok dan lingkup materi</w:t>
            </w:r>
          </w:p>
        </w:tc>
        <w:tc>
          <w:tcPr>
            <w:tcW w:w="1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Pedoman penyusunan</w:t>
            </w:r>
          </w:p>
        </w:tc>
      </w:tr>
      <w:tr>
        <w:trPr>
          <w:cantSplit/>
          <w:jc w:val="center"/>
        </w:trPr>
        <w:tc>
          <w:tcPr>
            <w:tcW w:w="22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UU No. 12 Tahun 2011</w:t>
            </w:r>
          </w:p>
        </w:tc>
        <w:tc>
          <w:tcPr>
            <w:tcW w:w="34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1 angka 11 dan Pasal 33 ayat (3): definisi dan kewajiban menuangkan hasil pengkajian dalam naskah akademik</w:t>
            </w:r>
          </w:p>
        </w:tc>
        <w:tc>
          <w:tcPr>
            <w:tcW w:w="1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Imperatif</w:t>
            </w:r>
          </w:p>
        </w:tc>
      </w:tr>
      <w:tr>
        <w:trPr>
          <w:cantSplit/>
          <w:jc w:val="center"/>
        </w:trPr>
        <w:tc>
          <w:tcPr>
            <w:tcW w:w="22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Permendagri No. 80 Tahun 2015</w:t>
            </w:r>
          </w:p>
        </w:tc>
        <w:tc>
          <w:tcPr>
            <w:tcW w:w="34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1 angka 20: definisi naskah akademik dalam pembentukan produk hukum daerah</w:t>
            </w:r>
          </w:p>
        </w:tc>
        <w:tc>
          <w:tcPr>
            <w:tcW w:w="1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Imperatif</w:t>
            </w:r>
          </w:p>
        </w:tc>
      </w:tr>
      <w:tr>
        <w:trPr>
          <w:cantSplit/>
          <w:jc w:val="center"/>
        </w:trPr>
        <w:tc>
          <w:tcPr>
            <w:tcW w:w="22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UU No. 13 Tahun 2022</w:t>
            </w:r>
          </w:p>
        </w:tc>
        <w:tc>
          <w:tcPr>
            <w:tcW w:w="34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Pasal 96: partisipasi masyarakat terbuka pada setiap tahap dan hak atas akses terhadap naskah akademik</w:t>
            </w:r>
          </w:p>
        </w:tc>
        <w:tc>
          <w:tcPr>
            <w:tcW w:w="1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Imperatif</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Diolah dari bahan hukum primer (2026)</w:t>
      </w:r>
    </w:p>
    <w:p w14:paraId="554F5361" w14:textId="5C7D14CE" w:rsidR="001C62FB" w:rsidRPr="00955050" w:rsidRDefault="001C62FB" w:rsidP="00955050">
      <w:pPr>
        <w:pStyle w:val="Heading2"/>
        <w:ind w:right="322"/>
        <w:rPr>
          <w:rStyle w:val="mediumtext"/>
        </w:rPr>
      </w:pPr>
      <w:r>
        <w:rPr>
          <w:rStyle w:val="mediumtext"/>
        </w:rPr>
        <w:t xml:space="preserve">3.2 Landasan-landasan yang Harus Dipenuhi dalam Pembentukan Naskah Akademik</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Naskah akademik diperlukan agar setiap peraturan yang dikeluarkan, termasuk peraturan daerah, memenuhi syarat filosofis, yuridis, dan sosiologis (Mahfud MD, 2009). Terhadap ketiga landasan tersebut, penelitian ini menambahkan landasan keempat, yaitu keterpenuhan ius constitutum dan ius constituendum, karena tanpa landasan tersebut naskah akademik hanya menilai keadaan sekarang tanpa mempertimbangkan arah keberlakuan norma di masa mendatang. Hasil pengujian atas keempat landasan itu terhadap objek penelitian disajikan pada Tabel 2.</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Landasan filosofis merupakan pertimbangan yang menggambarkan bahwa peraturan yang dibentuk benar-benar mempertimbangkan pandangan hidup, kesadaran, dan cita hukum yang bersumber dari Pancasila dan Pembukaan Undang-Undang Dasar 1945. Robert B. Seidman menempatkan pembentukan peraturan perundang-undangan dalam kerangka pemikiran filosofis pragmatis, yaitu bahwa hanya dengan mempelajari fakta mengenai permasalahan yang ada dan merefleksikannya seorang pembuat keputusan dapat menentukan langkah berikutnya, di samping dikenal pula pemikiran positivisme yang menggantungkan penilaian pada nilai-nilai pembuat keputusan. Menurut analisis penulis, kedua pemikiran itu tidak saling meniadakan: pragmatisme menuntun perumus berangkat dari fakta, sedangkan positivisme menjaga agar rumusan yang dihasilkan tetap dapat dituangkan sebagai norma yang pasti. Berdasarkan hasil penelitian terhadap naskah akademik rancangan peraturan daerah tentang pembentukan dan susunan perangkat daerah Provinsi Papua Tengah, pemenuhan landasan filosofis tersebut dapat dipahami dengan jelas.</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Landasan yuridis merupakan ketentuan hukum yang menjadi dasar hukum (rechtsgrond) pembentukan peraturan daerah. Ruslan (2013) membedakannya menjadi landasan yuridis formil, yaitu landasan yang memberikan kewenangan kepada instansi atau pejabat tertentu untuk membuat peraturan tertentu, dan landasan yuridis materil, yaitu landasan yang memberikan dasar hukum untuk mengatur hal tertentu. Hasil penelitian menunjukkan bahwa naskah akademik pada objek penelitian telah memenuhi keduanya. Dari sisi formil, materi yang diatur berada dalam kewenangan pemerintah daerah bersama Dewan Perwakilan Rakyat Daerah; dari sisi materil, materi tersebut berada dalam kerangka penyelenggaraan otonomi daerah dan tugas pembantuan. Secara yuridis, keterpenuhan ini bermakna bahwa peraturan daerah yang dibentuk tidak bertentangan dengan peraturan yang lebih tinggi dan ditetapkan oleh lembaga yang berwenang, sehingga kedudukan naskah akademik berfungsi sebagai sarana pengharmonisasian dan sinkronisasi secara vertikal maupun horizontal.</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Landasan sosiologis terdiri atas fakta-fakta yang merupakan tuntutan kebutuhan masyarakat yang mendorong perlunya pembentukan peraturan daerah (Halim &amp; Putera, 2010; Ruslan, 2013). Landasan ini menyangkut kenyataan empiris yang hidup dalam masyarakat dan tercermin dalam konsideran menimbang. Keterangan narasumber memperlihatkan dua hal yang saling melengkapi. Di satu sisi, terdapat harapan agar pembentukan peraturan daerah berangkat dari permasalahan nyata masyarakat, antara lain persoalan keluarga miskin serta pendidikan dan kesehatan, tanpa memandang status sosial, suku, maupun ras. Di sisi lain, pelibatan masyarakat melalui naskah akademik dinilai belum sepenuhnya berjalan, sebab yang umumnya diketahui masyarakat baru sebatas tahap sosialisasi rancangan peraturan daerah.</w:t>
      </w:r>
    </w:p>
    <w:p w14:paraId="7EF45635" w14:textId="0AF9A58F" w:rsidR="006F0069" w:rsidRPr="006F0069" w:rsidRDefault="006F0069" w:rsidP="006F0069">
      <w:pPr>
        <w:tabs>
          <w:tab w:val="left" w:pos="450"/>
        </w:tabs>
        <w:spacing w:before="100" w:beforeAutospacing="1" w:after="100" w:afterAutospacing="1"/>
        <w:contextualSpacing/>
        <w:jc w:val="center"/>
        <w:rPr>
          <w:rFonts w:eastAsia="Constantia" w:cs="Segoe UI"/>
          <w:sz w:val="20"/>
          <w:szCs w:val="20"/>
          <w:lang w:val="en-US"/>
        </w:rPr>
      </w:pPr>
      <w:r>
        <w:rPr>
          <w:rFonts w:eastAsia="Constantia" w:cs="Segoe UI"/>
          <w:b/>
          <w:bCs/>
          <w:sz w:val="20"/>
          <w:szCs w:val="20"/>
          <w:lang w:val="en-US"/>
        </w:rPr>
        <w:t xml:space="preserve">Tabel 2. </w:t>
      </w:r>
      <w:r>
        <w:rPr>
          <w:rFonts w:eastAsia="Constantia" w:cs="Segoe UI"/>
          <w:sz w:val="18"/>
          <w:szCs w:val="18"/>
          <w:lang w:val="en-US"/>
        </w:rPr>
        <w:t xml:space="preserve"/>
      </w:r>
      <w:r>
        <w:rPr>
          <w:rFonts w:eastAsia="Constantia" w:cs="Segoe UI"/>
          <w:sz w:val="20"/>
          <w:szCs w:val="20"/>
          <w:lang w:val="en-US"/>
        </w:rPr>
        <w:t>Pengujian Keterpenuhan Landasan pada Naskah Akademik Rancangan Peraturan Daerah Objek Penelitian</w:t>
      </w:r>
    </w:p>
    <w:tbl>
      <w:tblPr>
        <w:tblW w:w="0" w:type="auto"/>
        <w:jc w:val="center"/>
        <w:tblCellMar>
          <w:top w:w="30" w:type="dxa"/>
          <w:left w:w="60" w:type="dxa"/>
          <w:bottom w:w="30" w:type="dxa"/>
          <w:right w:w="60" w:type="dxa"/>
        </w:tblCellMar>
        <w:tblLook w:val="04A0" w:firstRow="1" w:lastRow="0" w:firstColumn="1" w:lastColumn="0" w:noHBand="0" w:noVBand="1"/>
      </w:tblPr>
      <w:tblGrid>
        <w:gridCol w:w="2000"/>
        <w:gridCol w:w="3800"/>
        <w:gridCol w:w="1500"/>
      </w:tblGrid>
      <w:tr>
        <w:trPr>
          <w:cantSplit/>
          <w:tblHeader/>
          <w:jc w:val="center"/>
        </w:trPr>
        <w:tc>
          <w:tcPr>
            <w:tcW w:w="20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Landasan</w:t>
            </w:r>
          </w:p>
        </w:tc>
        <w:tc>
          <w:tcPr>
            <w:tcW w:w="38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Tolok Ukur Pengujian</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b/>
                <w:bCs/>
                <w:sz w:val="18"/>
                <w:szCs w:val="18"/>
              </w:rPr>
              <w:t xml:space="preserve">Hasil Pengujian</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Filosofis</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Pertimbangan atas pandangan hidup, kesadaran, dan cita hukum yang bersumber dari Pancasila dan Pembukaan UUD 1945</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Terpenuhi</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Yuridis formil</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Adanya kewenangan pemerintah daerah bersama DPRD untuk membentuk peraturan daerah yang bersangkutan</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Terpenuhi</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Yuridis materil</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Adanya dasar hukum untuk mengatur materi dalam kerangka otonomi daerah dan tugas pembantuan</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Terpenuhi</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Sosiologis</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Fakta kebutuhan masyarakat serta tiga unsur partisipasi bermakna: didengar, dipertimbangkan, dan memperoleh penjelasan</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Terpenuhi sebagian</w:t>
            </w:r>
          </w:p>
        </w:tc>
      </w:tr>
      <w:tr>
        <w:trPr>
          <w:cantSplit/>
          <w:jc w:val="center"/>
        </w:trPr>
        <w:tc>
          <w:tcPr>
            <w:tcW w:w="20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Ius constitutum dan ius constituendum</w:t>
            </w:r>
          </w:p>
        </w:tc>
        <w:tc>
          <w:tcPr>
            <w:tcW w:w="3800" w:type="dxa"/>
            <w:tcBorders>
              <w:top w:val="single" w:sz="4" w:space="0" w:color="auto"/>
              <w:bottom w:val="single" w:sz="4" w:space="0" w:color="auto"/>
            </w:tcBorders>
            <w:vAlign w:val="center"/>
          </w:tcPr>
          <w:p>
            <w:pPr>
              <w:spacing w:before="40" w:after="40" w:line="240" w:lineRule="auto"/>
              <w:jc w:val="left"/>
            </w:pPr>
            <w:r>
              <w:rPr>
                <w:rFonts w:ascii="Segoe UI" w:hAnsi="Segoe UI" w:cs="Segoe UI"/>
                <w:sz w:val="18"/>
                <w:szCs w:val="18"/>
              </w:rPr>
              <w:t xml:space="preserve">Kajian atas hukum yang berlaku dan arah pengaturan yang dicita-citakan dalam jangka panjang</w:t>
            </w:r>
          </w:p>
        </w:tc>
        <w:tc>
          <w:tcPr>
            <w:tcW w:w="1500" w:type="dxa"/>
            <w:tcBorders>
              <w:top w:val="single" w:sz="4" w:space="0" w:color="auto"/>
              <w:bottom w:val="single" w:sz="4" w:space="0" w:color="auto"/>
            </w:tcBorders>
            <w:vAlign w:val="center"/>
          </w:tcPr>
          <w:p>
            <w:pPr>
              <w:spacing w:before="40" w:after="40" w:line="240" w:lineRule="auto"/>
              <w:jc w:val="center"/>
            </w:pPr>
            <w:r>
              <w:rPr>
                <w:rFonts w:ascii="Segoe UI" w:hAnsi="Segoe UI" w:cs="Segoe UI"/>
                <w:sz w:val="18"/>
                <w:szCs w:val="18"/>
              </w:rPr>
              <w:t xml:space="preserve">Perlu diperkuat</w:t>
            </w:r>
          </w:p>
        </w:tc>
      </w:tr>
    </w:tbl>
    <w:p w14:paraId="6608DF7B" w14:textId="160C2C3E" w:rsidR="001E0508" w:rsidRDefault="00985560" w:rsidP="001E0508">
      <w:pPr>
        <w:pStyle w:val="IEEEParagraph"/>
        <w:ind w:firstLine="567"/>
        <w:rPr>
          <w:rFonts w:ascii="Segoe UI" w:hAnsi="Segoe UI" w:cs="Segoe UI"/>
          <w:i/>
          <w:iCs/>
          <w:sz w:val="18"/>
          <w:szCs w:val="18"/>
          <w:lang w:val="sv-SE"/>
        </w:rPr>
      </w:pPr>
      <w:r>
        <w:rPr>
          <w:rFonts w:ascii="Segoe UI" w:hAnsi="Segoe UI" w:cs="Segoe UI"/>
          <w:i/>
          <w:iCs/>
          <w:sz w:val="18"/>
          <w:szCs w:val="18"/>
          <w:lang w:val="sv-SE"/>
        </w:rPr>
        <w:t xml:space="preserve">              Sumber: Diolah dari hasil penelitian (2026)</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Temuan tersebut memperlihatkan kesenjangan yang tidak terbaca apabila penilaian berhenti pada dokumen. Secara formal, naskah akademik pada objek penelitian memuat kajian sosiologis; secara empiris, proses yang menghasilkan kajian itu belum melibatkan masyarakat pada tahap yang menentukan. Jika diukur dengan tiga unsur partisipasi yang bermakna dalam Putusan Mahkamah Konstitusi Nomor 91/PUU-XVIII/2020, hak untuk didengar baru terpenuhi secara terbatas, sedangkan hak untuk dipertimbangkan dan hak untuk memperoleh penjelasan belum terlihat terpenuhi. Karena itu, landasan sosiologis pada objek penelitian dinilai baru terpenuhi sebagian. Penilaian ini sejalan dengan Dondokambey (2023) dan Sofwan (2022) yang menemukan bahwa partisipasi dalam legislasi daerah kerap berhenti pada tataran prosedural. Implikasinya bersifat praktis, karena peraturan perundang-undangan yang setelah diundangkan ditolak masyarakat pada dasarnya merupakan cerminan norma yang tidak berakar sosial kuat.</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Landasan keempat menyangkut ius constitutum dan ius constituendum. Ius constitutum adalah hukum yang berlaku pada suatu saat, sedangkan ius constituendum adalah hukum yang dicita-citakan tetapi belum berbentuk undang-undang atau peraturan lain (Purbacaraka &amp; Soekanto, 1980). Naskah akademik yang baik harus mengkaji keduanya sekaligus, yakni menilai peraturan yang masih berlaku namun dianggap tidak lagi sesuai dengan kebutuhan rasa keadilan masyarakat, sekaligus merumuskan arah pengaturan yang dituju. Dalam kerangka itu Pancasila berkedudukan sebagai sumber dari segala sumber hukum negara sekaligus kaidah penuntun, sehingga materi muatan peraturan daerah tidak boleh bertentangan dengan nilai-nilainya. Terhadap objek penelitian, dimensi inilah yang paling perlu diperkuat, karena penataan perangkat daerah pada daerah otonom baru akan menjadi rujukan kelembagaan dalam jangka panjang.</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keseluruhan pengujian tersebut, menurut analisis penulis konsep ideal naskah akademik dalam pembentukan peraturan daerah yang responsif memuat tiga syarat yang harus berjalan bersama. Naskah akademik harus menjadikan Pancasila dan Undang-Undang Dasar 1945 sebagai kaidah penuntun, harus menguraikan fakta dan tuntutan masyarakat berdasarkan penelitian yang sungguh-sungguh, dan harus disusun serta ditetapkan oleh lembaga yang memiliki kewenangan melalui proses yang membuka ruang partisipasi sejak tahap perencanaan. Ketiganya bersifat kumulatif, sebab pemenuhan syarat pertama dan ketiga tanpa syarat kedua hanya akan menghasilkan dokumen yang benar secara formal, sedangkan pemenuhan syarat kedua tanpa syarat ketiga akan menghasilkan kajian yang tidak memiliki kekuatan mengikat dalam proses pembentukan peraturan daerah.</w:t>
      </w:r>
    </w:p>
    <w:p w14:paraId="17E3A12B" w14:textId="5E31EBBF" w:rsidR="001E0508" w:rsidRPr="00EA7E75" w:rsidRDefault="00985560" w:rsidP="00985560">
      <w:pPr>
        <w:pStyle w:val="Heading3"/>
        <w:ind w:left="993" w:hanging="426"/>
      </w:pPr>
      <w:r>
        <w:t>KESIMPULAN</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hasil penelitian dan pembahasan, dapat disimpulkan bahwa naskah akademik pada hakikatnya merupakan pedoman dalam pembentukan peraturan daerah, karena naskah tersebut merupakan hasil penelitian atas permasalahan yang terjadi dalam masyarakat yang memerlukan penyelesaian melalui peraturan daerah dan dapat dipertanggungjawabkan secara ilmiah. Kedudukannya karena itu bukan sekadar kelengkapan administratif, melainkan prasyarat mutu, sebab hanya melalui naskah akademik yang baik dapat lahir peraturan daerah yang baik. Urgensi tersebut bertumpu pada empat alasan yang saling berkaitan, yaitu naskah akademik sebagai sarana harmonisasi antara hukum negara dan hukum yang hidup dalam masyarakat, sebagai media nyata partisipasi masyarakat, sebagai penjamin bahwa substansi rancangan bertumpu pada pemikiran ilmiah yang sistematis dan komprehensif, serta sebagai dokumen kebijakan yang memungkinkan kontrol masyarakat terhadap pelaksanaan peraturan daerah.</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Terhadap rumusan masalah kedua, naskah akademik yang ideal harus memenuhi landasan filosofis, landasan yuridis dalam arti formil maupun materil, landasan sosiologis, serta keterpenuhan ius constitutum dan ius constituendum. Pada objek penelitian, yaitu naskah akademik rancangan peraturan daerah tentang pembentukan dan susunan perangkat daerah Provinsi Papua Tengah, landasan filosofis dan landasan yuridis telah terpenuhi, sedangkan landasan sosiologis baru terpenuhi sebagian karena pelibatan masyarakat masih terbatas pada tahap sosialisasi rancangan sehingga hak untuk dipertimbangkan dan hak untuk memperoleh penjelasan belum terlihat terpenuhi, dan dimensi ius constituendum masih perlu diperkuat. Dengan demikian, konsep ideal naskah akademik dalam pembentukan peraturan daerah yang responsif adalah menjadikan Pancasila dan Undang-Undang Dasar 1945 sebagai kaidah penuntun, menguraikan fakta dan tuntutan masyarakat, serta disusun oleh lembaga yang berwenang melalui proses yang partisipatif.</w:t>
      </w:r>
    </w:p>
    <w:p w14:paraId="0436B26F" w14:textId="77581EFE" w:rsidR="00E02EE7" w:rsidRPr="00E02EE7" w:rsidRDefault="00E02EE7" w:rsidP="00E02EE7">
      <w:pPr>
        <w:pStyle w:val="IEEEParagraph"/>
        <w:ind w:left="567" w:right="322" w:firstLine="567"/>
        <w:rPr>
          <w:rStyle w:val="longtext"/>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simpulan tersebut, disarankan agar pemerintah daerah dan Dewan Perwakilan Rakyat Daerah Provinsi Papua Tengah menempatkan penyusunan naskah akademik sebagai tahap perencanaan yang sungguh-sungguh dijalankan, dengan melibatkan ahli dari perguruan tinggi serta membuka forum dengan masyarakat sebelum rancangan peraturan daerah diusulkan masuk dalam Program Pembentukan Peraturan Daerah, bukan setelah rumusan pasal tersusun. Pemrakarsa perlu menyusun naskah akademik sesuai teknik penyusunan menurut peraturan perundang-undangan dan mempedomani hasilnya dalam perumusan pasal, serta menyediakan akses terhadap naskah akademik dan rancangan peraturan daerah sebagaimana dikehendaki Pasal 96 Undang-Undang Nomor 13 Tahun 2022. Selain itu, setiap masukan masyarakat sebaiknya didokumentasikan beserta alasan diterima atau tidaknya, agar hak untuk dipertimbangkan dan hak untuk memperoleh penjelasan benar-benar terpenuhi. Dokumentasi tersebut sekaligus menyediakan rekam jejak yang dapat digunakan untuk menilai kembali arah pengaturan ketika peraturan daerah dievaluasi di kemudian hari.</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Astawa, I G. P., &amp; Na'a, S. (2008). </w:t>
      </w:r>
      <w:r>
        <w:rPr>
          <w:rFonts w:cs="Segoe UI"/>
          <w:noProof/>
          <w:i/>
          <w:iCs/>
        </w:rPr>
        <w:t xml:space="preserve">Dinamika hukum dan ilmu perundang-undangan di Indonesia</w:t>
      </w:r>
      <w:r>
        <w:rPr>
          <w:rFonts w:cs="Segoe UI"/>
          <w:noProof/>
        </w:rPr>
        <w:t xml:space="preserve">. Alumni.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Chandra SY, H., &amp; Irawan, S. P. (2022). Perluasan makna partisipasi masyarakat dalam pembentukan undang-undang pasca putusan Mahkamah Konstitusi. </w:t>
      </w:r>
      <w:r>
        <w:rPr>
          <w:rFonts w:cs="Segoe UI"/>
          <w:noProof/>
          <w:i/>
          <w:iCs/>
        </w:rPr>
        <w:t xml:space="preserve">Jurnal Konstitusi, 19</w:t>
      </w:r>
      <w:r>
        <w:rPr>
          <w:rFonts w:cs="Segoe UI"/>
          <w:noProof/>
        </w:rPr>
        <w:t xml:space="preserve">(4). https://doi.org/10.31078/jk1942</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Cotterrell, R. (1995). </w:t>
      </w:r>
      <w:r>
        <w:rPr>
          <w:rFonts w:cs="Segoe UI"/>
          <w:noProof/>
          <w:i/>
          <w:iCs/>
        </w:rPr>
        <w:t xml:space="preserve">Law's community: Legal theory in sociological perspective</w:t>
      </w:r>
      <w:r>
        <w:rPr>
          <w:rFonts w:cs="Segoe UI"/>
          <w:noProof/>
        </w:rPr>
        <w:t xml:space="preserve">. Clarendon Press.</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Dondokambey, S. M. A. (2023). Penerapan prinsip partisipasi masyarakat bermakna (meaningful participation) dalam pembentukan peraturan daerah. </w:t>
      </w:r>
      <w:r>
        <w:rPr>
          <w:rFonts w:cs="Segoe UI"/>
          <w:noProof/>
          <w:i/>
          <w:iCs/>
        </w:rPr>
        <w:t xml:space="preserve">Lex Privatum, 11</w:t>
      </w:r>
      <w:r>
        <w:rPr>
          <w:rFonts w:cs="Segoe UI"/>
          <w:noProof/>
        </w:rPr>
        <w:t xml:space="preserve">(2).</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Friedman, L. M. (1975). </w:t>
      </w:r>
      <w:r>
        <w:rPr>
          <w:rFonts w:cs="Segoe UI"/>
          <w:noProof/>
          <w:i/>
          <w:iCs/>
        </w:rPr>
        <w:t xml:space="preserve">The legal system: A social science perspective</w:t>
      </w:r>
      <w:r>
        <w:rPr>
          <w:rFonts w:cs="Segoe UI"/>
          <w:noProof/>
        </w:rPr>
        <w:t xml:space="preserve">. Russell Sage Foundation.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Hafani, M. H., Rato, D., &amp; Ohoiwutun, Y. T. (2025). Urgensi perubahan Undang-Undang Nomor 12 Tahun 2011 tentang Pembentukan Peraturan Perundang-Undangan. </w:t>
      </w:r>
      <w:r>
        <w:rPr>
          <w:rFonts w:cs="Segoe UI"/>
          <w:noProof/>
          <w:i/>
          <w:iCs/>
        </w:rPr>
        <w:t xml:space="preserve">Jurnal Riset Multidisiplin Edukasi, 2</w:t>
      </w:r>
      <w:r>
        <w:rPr>
          <w:rFonts w:cs="Segoe UI"/>
          <w:noProof/>
        </w:rPr>
        <w:t xml:space="preserve">(11), 497-509.</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Halim, H., &amp; Putera, K. R. S. (2010). </w:t>
      </w:r>
      <w:r>
        <w:rPr>
          <w:rFonts w:cs="Segoe UI"/>
          <w:noProof/>
          <w:i/>
          <w:iCs/>
        </w:rPr>
        <w:t xml:space="preserve">Cara praktis menyusun dan merancang peraturan daerah</w:t>
      </w:r>
      <w:r>
        <w:rPr>
          <w:rFonts w:cs="Segoe UI"/>
          <w:noProof/>
        </w:rPr>
        <w:t xml:space="preserve"> (Ed. 1, Cet. 2). Kencana.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Mahendra, A. A. O. (2006). Mekanisme penyusunan dan pengelolaan program legislasi daerah. </w:t>
      </w:r>
      <w:r>
        <w:rPr>
          <w:rFonts w:cs="Segoe UI"/>
          <w:noProof/>
          <w:i/>
          <w:iCs/>
        </w:rPr>
        <w:t xml:space="preserve">Jurnal Legislasi Indonesia, 3</w:t>
      </w:r>
      <w:r>
        <w:rPr>
          <w:rFonts w:cs="Segoe UI"/>
          <w:noProof/>
        </w:rPr>
        <w:t xml:space="preserve">(1).</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Mahfud MD, M. (2009). </w:t>
      </w:r>
      <w:r>
        <w:rPr>
          <w:rFonts w:cs="Segoe UI"/>
          <w:noProof/>
          <w:i/>
          <w:iCs/>
        </w:rPr>
        <w:t xml:space="preserve">Konstitusi dan hukum dalam kontroversi isu</w:t>
      </w:r>
      <w:r>
        <w:rPr>
          <w:rFonts w:cs="Segoe UI"/>
          <w:noProof/>
        </w:rPr>
        <w:t xml:space="preserve">. RajaGrafindo Persada.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Mahkamah Konstitusi Republik Indonesia. (2021). </w:t>
      </w:r>
      <w:r>
        <w:rPr>
          <w:rFonts w:cs="Segoe UI"/>
          <w:noProof/>
          <w:i/>
          <w:iCs/>
        </w:rPr>
        <w:t xml:space="preserve">Putusan Nomor 91/PUU-XVIII/2020 tentang Pengujian Formil Undang-Undang Nomor 11 Tahun 2020 tentang Cipta Kerja</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Pound, R. (1989). </w:t>
      </w:r>
      <w:r>
        <w:rPr>
          <w:rFonts w:cs="Segoe UI"/>
          <w:noProof/>
          <w:i/>
          <w:iCs/>
        </w:rPr>
        <w:t xml:space="preserve">Pengantar filsafat hukum</w:t>
      </w:r>
      <w:r>
        <w:rPr>
          <w:rFonts w:cs="Segoe UI"/>
          <w:noProof/>
        </w:rPr>
        <w:t xml:space="preserve"> (M. Rajab, Penerj.). Bharata.</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Pratama, N. A. (2022). Meaningful participation sebagai upaya kompromi idee des recht pasca Putusan MK No. 91/PUU-XVIII/2020. </w:t>
      </w:r>
      <w:r>
        <w:rPr>
          <w:rFonts w:cs="Segoe UI"/>
          <w:noProof/>
          <w:i/>
          <w:iCs/>
        </w:rPr>
        <w:t xml:space="preserve">Jurnal Crepido, 4</w:t>
      </w:r>
      <w:r>
        <w:rPr>
          <w:rFonts w:cs="Segoe UI"/>
          <w:noProof/>
        </w:rPr>
        <w:t xml:space="preserve">(2).</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Purbacaraka, P., &amp; Soekanto, S. (1980). </w:t>
      </w:r>
      <w:r>
        <w:rPr>
          <w:rFonts w:cs="Segoe UI"/>
          <w:noProof/>
          <w:i/>
          <w:iCs/>
        </w:rPr>
        <w:t xml:space="preserve">Aneka cara pembedaan hukum</w:t>
      </w:r>
      <w:r>
        <w:rPr>
          <w:rFonts w:cs="Segoe UI"/>
          <w:noProof/>
        </w:rPr>
        <w:t xml:space="preserve">. Alumni.</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(1945). </w:t>
      </w:r>
      <w:r>
        <w:rPr>
          <w:rFonts w:cs="Segoe UI"/>
          <w:noProof/>
          <w:i/>
          <w:iCs/>
        </w:rPr>
        <w:t xml:space="preserve">Undang-Undang Dasar Negara Republik Indonesia Tahun 1945</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(2011). </w:t>
      </w:r>
      <w:r>
        <w:rPr>
          <w:rFonts w:cs="Segoe UI"/>
          <w:noProof/>
          <w:i/>
          <w:iCs/>
        </w:rPr>
        <w:t xml:space="preserve">Undang-Undang Nomor 12 Tahun 2011 tentang Pembentukan Peraturan Perundang-Undangan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(2014). </w:t>
      </w:r>
      <w:r>
        <w:rPr>
          <w:rFonts w:cs="Segoe UI"/>
          <w:noProof/>
          <w:i/>
          <w:iCs/>
        </w:rPr>
        <w:t xml:space="preserve">Undang-Undang Nomor 23 Tahun 2014 tentang Pemerintahan Daerah</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(2015). </w:t>
      </w:r>
      <w:r>
        <w:rPr>
          <w:rFonts w:cs="Segoe UI"/>
          <w:noProof/>
          <w:i/>
          <w:iCs/>
        </w:rPr>
        <w:t xml:space="preserve">Peraturan Menteri Dalam Negeri Nomor 80 Tahun 2015 tentang Pembentukan Produk Hukum Daerah</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(2022). </w:t>
      </w:r>
      <w:r>
        <w:rPr>
          <w:rFonts w:cs="Segoe UI"/>
          <w:noProof/>
          <w:i/>
          <w:iCs/>
        </w:rPr>
        <w:t xml:space="preserve">Undang-Undang Nomor 13 Tahun 2022 tentang Perubahan Kedua atas Undang-Undang Nomor 12 Tahun 2011 tentang Pembentukan Peraturan Perundang-Undangan</w:t>
      </w:r>
      <w:r>
        <w:rPr>
          <w:rFonts w:cs="Segoe UI"/>
          <w:noProof/>
        </w:rPr>
        <w:t xml:space="preserve">.</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Ruslan, A. (2013). </w:t>
      </w:r>
      <w:r>
        <w:rPr>
          <w:rFonts w:cs="Segoe UI"/>
          <w:noProof/>
          <w:i/>
          <w:iCs/>
        </w:rPr>
        <w:t xml:space="preserve">Teori dan panduan praktik pembentukan peraturan perundang-undangan di Indonesia</w:t>
      </w:r>
      <w:r>
        <w:rPr>
          <w:rFonts w:cs="Segoe UI"/>
          <w:noProof/>
        </w:rPr>
        <w:t xml:space="preserve"> (Cet. 2, Ed. rev.). Rangkang Education.</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Setiadi, W. (2011). </w:t>
      </w:r>
      <w:r>
        <w:rPr>
          <w:rFonts w:cs="Segoe UI"/>
          <w:noProof/>
          <w:i/>
          <w:iCs/>
        </w:rPr>
        <w:t xml:space="preserve">Peran strategis naskah akademik dalam pembentukan perda</w:t>
      </w:r>
      <w:r>
        <w:rPr>
          <w:rFonts w:cs="Segoe UI"/>
          <w:noProof/>
        </w:rPr>
        <w:t xml:space="preserve"> [Makalah]. Rapat Koordinasi Law Center, Padang.</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Sofwan. (2022). Urgensi partisipasi publik dalam pembentukan peraturan daerah. </w:t>
      </w:r>
      <w:r>
        <w:rPr>
          <w:rFonts w:cs="Segoe UI"/>
          <w:noProof/>
          <w:i/>
          <w:iCs/>
        </w:rPr>
        <w:t xml:space="preserve">Jatiswara, 37</w:t>
      </w:r>
      <w:r>
        <w:rPr>
          <w:rFonts w:cs="Segoe UI"/>
          <w:noProof/>
        </w:rPr>
        <w:t xml:space="preserve">(1).</w:t>
      </w:r>
    </w:p>
    <w:p w14:paraId="5A0BB680" w14:textId="77777777"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Yasin, A., &amp; Amaliyah, D. (2022). Urgensi naskah akademik dalam pembentukan sebuah peraturan daerah yang partisipatif. </w:t>
      </w:r>
      <w:r>
        <w:rPr>
          <w:rFonts w:cs="Segoe UI"/>
          <w:noProof/>
          <w:i/>
          <w:iCs/>
        </w:rPr>
        <w:t xml:space="preserve">Jurnal Pendidikan Dasar dan Sosial Humaniora, 1</w:t>
      </w:r>
      <w:r>
        <w:rPr>
          <w:rFonts w:cs="Segoe UI"/>
          <w:noProof/>
        </w:rPr>
        <w:t xml:space="preserve">(9).</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Aten Waine1*</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