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Siri' dalam Pertimbangan Hakim dan Tujuan Pemidanaan pada Pembunuhan Berlatar Kehormatan</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Andry Try Arsiman</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andry@ukipaulus.ac.id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siri', honor killing, judicial reasoning, purposes of punishment, living law, dissenting opinion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siri', pembunuhan berlatar kehormatan, pertimbangan hakim, tujuan pemidanaan, hukum yang hidup, pendapat berbeda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Killings motivated by siri', the Bugis-Makassar notion of honour and shame, place state criminal law in direct contact with a living value system that treats collective family honour as paramount. This study examines the panel's legal reasoning and the implications of sentencing purposes in Bantaeng District Court Decision Number 36/Pid.B/2025/PN Ban. The research is normative legal research employing statutory and case approaches, analysed descriptively and qualitatively. The findings show that the panel firmly refused to treat siri' as a ground excluding unlawfulness or culpability, yet allowed it to operate on two other levels: the qualification of the offence, where the element of premeditation was held unproven, and the measurement of sentence. A dissenting opinion read the same facts as establishing premeditation, revealing how contested that element is. The study argues that the decision reflects an integrative theory of punishment, but that the route by which siri' entered the reasoning was left implicit, a gap the new criminal code now closes by expressly requiring judges to weigh motive and living legal values.</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Pembunuhan yang dilatarbelakangi siri', yaitu konsep kehormatan dan rasa malu dalam masyarakat Bugis-Makassar, menempatkan hukum pidana negara berhadapan langsung dengan sistem nilai yang hidup dan menempatkan kehormatan kolektif keluarga pada kedudukan tertinggi. Penelitian ini mengkaji pertimbangan hukum majelis hakim dan implikasi tujuan pemidanaan dalam Putusan Pengadilan Negeri Bantaeng Nomor 36/Pid.B/2025/PN Ban. Penelitian ini merupakan penelitian hukum normatif dengan pendekatan peraturan perundang-undangan dan pendekatan kasus, dianalisis secara deskriptif kualitatif. Hasil penelitian menunjukkan majelis hakim tegas menolak siri' sebagai alasan penghapus sifat melawan hukum maupun kesalahan, namun membiarkannya bekerja pada dua ranah lain, yaitu kualifikasi delik ketika unsur perencanaan dinyatakan tidak terbukti, dan pengukuran berat ringannya pidana. Terdapat pendapat berbeda yang membaca fakta yang sama sebagai terpenuhinya unsur perencanaan, sehingga memperlihatkan betapa terbukanya penafsiran atas unsur tersebut. Penelitian ini berargumentasi bahwa putusan mencerminkan teori pemidanaan integratif, tetapi jalan masuk siri' ke dalam penalaran dibiarkan implisit, suatu celah yang kini ditutup oleh kodifikasi pidana baru melalui kewajiban hakim menimbang motif dan nilai hukum yang hidup.</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Indonesia adalah negara hukum sebagaimana ditegaskan Pasal 1 ayat (3) Undang-Undang Dasar Negara Republik Indonesia Tahun 1945, sehingga penyelenggaraan kekuasaan dalam segala bentuknya dilakukan di bawah kekuasaan hukum. Konsekuensinya, monopoli atas penjatuhan sanksi terhadap kejahatan berada pada negara dan tidak boleh diambil alih oleh siapa pun. Prinsip itu menjadi ujian ketika perbuatan yang dilarang hukum negara justru memperoleh pembenaran dalam sistem nilai yang hidup di tengah masyarakat.</w:t>
      </w:r>
    </w:p>
    <w:p>
      <w:pPr>
        <w:pStyle w:val="IEEEParagraph"/>
        <w:ind w:left="567" w:right="322" w:firstLine="567"/>
        <w:rPr>
          <w:rFonts w:ascii="Segoe UI" w:hAnsi="Segoe UI" w:cs="Segoe UI"/>
          <w:sz w:val="22"/>
          <w:szCs w:val="22"/>
        </w:rPr>
      </w:pPr>
      <w:r>
        <w:rPr>
          <w:rFonts w:ascii="Segoe UI" w:hAnsi="Segoe UI" w:cs="Segoe UI"/>
          <w:sz w:val="22"/>
          <w:szCs w:val="22"/>
        </w:rPr>
        <w:t xml:space="preserve">Nyawa merupakan kepentingan hukum tertinggi yang dilindungi hukum pidana, sehingga perampasan nyawa ditempatkan sebagai kejahatan paling berat dalam kelompok kejahatan terhadap orang (Lamintang &amp; Lamintang, 2012). Motif pelakunya beragam, mulai dari dendam, kecemburuan, dorongan ekonomi, hingga emosi sesaat. Di kalangan masyarakat Bugis-Makassar di Sulawesi Selatan dijumpai pula pembunuhan yang dilatarbelakangi siri', yaitu konsep harga diri, kehormatan, dan rasa malu yang dijunjung sangat tinggi.</w:t>
      </w:r>
    </w:p>
    <w:p>
      <w:pPr>
        <w:pStyle w:val="IEEEParagraph"/>
        <w:ind w:left="567" w:right="322" w:firstLine="567"/>
        <w:rPr>
          <w:rFonts w:ascii="Segoe UI" w:hAnsi="Segoe UI" w:cs="Segoe UI"/>
          <w:sz w:val="22"/>
          <w:szCs w:val="22"/>
        </w:rPr>
      </w:pPr>
      <w:r>
        <w:rPr>
          <w:rFonts w:ascii="Segoe UI" w:hAnsi="Segoe UI" w:cs="Segoe UI"/>
          <w:sz w:val="22"/>
          <w:szCs w:val="22"/>
        </w:rPr>
        <w:t xml:space="preserve">Secara dogmatis, kejahatan terhadap nyawa dibedakan menurut ada tidaknya perencanaan, dan pembedaan itu membawa akibat yang sangat jauh terhadap ancaman pidananya (Prodjodikoro, 2012). Karena undang-undang tidak merumuskan pengertian maupun syarat unsur perencanaan, penilaian atasnya diserahkan sepenuhnya pada kecermatan hakim membaca fakta konkret. Pada perkara berlatar kehormatan, kesulitan itu berlipat: rangkaian tindakan yang sama dapat dibaca sebagai persiapan yang terencana sekaligus sebagai ledakan emosi yang lahir dari goncangan jiwa.</w:t>
      </w:r>
    </w:p>
    <w:p>
      <w:pPr>
        <w:pStyle w:val="IEEEParagraph"/>
        <w:ind w:left="567" w:right="322" w:firstLine="567"/>
        <w:rPr>
          <w:rFonts w:ascii="Segoe UI" w:hAnsi="Segoe UI" w:cs="Segoe UI"/>
          <w:sz w:val="22"/>
          <w:szCs w:val="22"/>
        </w:rPr>
      </w:pPr>
      <w:r>
        <w:rPr>
          <w:rFonts w:ascii="Segoe UI" w:hAnsi="Segoe UI" w:cs="Segoe UI"/>
          <w:sz w:val="22"/>
          <w:szCs w:val="22"/>
        </w:rPr>
        <w:t xml:space="preserve">Dalam kepustakaan antropologi hukum, siri' dipahami bukan sekadar perasaan malu, melainkan pranata nilai yang menjadi bagian dari kesadaran hukum rakyat dan menautkan kehormatan individu pada kehormatan keluarga (Mattulada, 1995). Pelanggaran terhadapnya melahirkan kewajiban moral untuk memulihkan kehormatan yang tercederai, dan pemulihan itu secara historis dapat ditempuh sampai pada pertaruhan nyawa (Abdullah, 1985). Struktur nilai demikian menempatkan kehormatan kolektif di atas nyawa individu, sehingga kekerasan terhadap pelanggar siri' memperoleh legitimasi sosial yang kuat.</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Persinggungan itulah yang menempatkan pembunuhan berlatar siri' dalam kategori yang dalam kepustakaan internasional disebut pembunuhan demi kehormatan. Bagi hakim, perkara semacam ini melahirkan ketegangan yang nyata. Di satu sisi asas legalitas menuntut penerapan hukum tertulis secara konsisten; di sisi lain Pasal 18B ayat (2) Undang-Undang Dasar Negara Republik Indonesia Tahun 1945 mengakui kesatuan masyarakat hukum adat beserta hak tradisionalnya, dan Pasal 5 ayat (1) Undang-Undang Nomor 48 Tahun 2009 mewajibkan hakim menggali, mengikuti, dan memahami nilai-nilai hukum dan rasa keadilan yang hidup dalam masyarakat.</w:t>
      </w:r>
    </w:p>
    <w:p>
      <w:pPr>
        <w:pStyle w:val="IEEEParagraph"/>
        <w:ind w:left="567" w:right="322" w:firstLine="567"/>
        <w:rPr>
          <w:rFonts w:ascii="Segoe UI" w:hAnsi="Segoe UI" w:cs="Segoe UI"/>
          <w:sz w:val="22"/>
          <w:szCs w:val="22"/>
        </w:rPr>
      </w:pPr>
      <w:r>
        <w:rPr>
          <w:rFonts w:ascii="Segoe UI" w:hAnsi="Segoe UI" w:cs="Segoe UI"/>
          <w:sz w:val="22"/>
          <w:szCs w:val="22"/>
        </w:rPr>
        <w:t xml:space="preserve">Putusan Pengadilan Negeri Bantaeng Nomor 36/Pid.B/2025/PN Ban menghadirkan ketegangan tersebut secara konkret. Tiga terdakwa yang bersaudara dan berkerabat mendatangi korban yang diyakini telah menghamili saudara perempuan mereka yang mengidap sindrom Down hingga melahirkan, dan rangkaian kekerasan yang terjadi berujung pada kematian korban. Penuntut umum mendakwa secara subsidairitas dengan dakwaan primair pembunuhan berencana secara bersama-sama, majelis hakim menyatakan unsur perencanaan tidak terbukti dan memidana berdasarkan dakwaan subsidair, sementara seorang hakim anggota menyatakan pendapat berbeda dengan berpendirian bahwa dakwaan primair justru terbukti.</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hukum yang muncul bersifat berlapis. Pada lapis pertama terdapat pertanyaan mengenai konstruksi pertimbangan hakim, yaitu bagaimana majelis mendudukkan siri' dalam kerangka pertanggungjawaban pidana dan bagaimana unsur perencanaan dinilai sehingga melahirkan perbedaan pendapat. Pada lapis kedua terdapat pertanyaan mengenai pemidanaan, yaitu tujuan pemidanaan apa yang sesungguhnya hendak dicapai putusan tersebut dan apakah pidana yang dijatuhkan mencerminkannya.</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siri' dan hukum pidana telah berkembang cukup lama. Mattulada (1995) dan Abdullah (1985) membangun landasan antropologis mengenai kedudukan siri' dalam masyarakat Bugis-Makassar, sedangkan kajian hukum pidana pada umumnya membahas kejahatan terhadap nyawa pada tataran unsur delik (Chazawi, 2010; Marpaung, 2005). Kajian-kajian tersebut berjasa membangun kerangka konseptual, tetapi jarang menelusuri secara rinci melalui pintu mana nilai budaya sesungguhnya masuk ke dalam penalaran hakim dalam satu putusan.</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memetakan secara spesifik ranah tempat siri' bekerja dalam putusan, yaitu ranah penghapus pidana, ranah kualifikasi delik, dan ranah pengukuran pidana, serta memanfaatkan keberadaan pendapat berbeda sebagai alat uji atas keterbukaan penafsiran unsur perencanaan. Penelitian ini juga menempatkan putusan pada titik transisi sistem pemidanaan nasional, sebab sejak 2 Januari 2026 berlaku Undang-Undang Nomor 1 Tahun 2023 tentang Kitab Undang-Undang Hukum Pidana yang merumuskan tujuan dan pedoman pemidanaan secara tegas. Dimensi transisional itu menentukan apakah pola penalaran dalam putusan a quo masih memadai pada masa mendatang.</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pertimbangan hakim dalam penegakan hukum terhadap tindak pidana pembunuhan yang dilatarbelakangi siri' pada Putusan Nomor 36/Pid.B/2025/PN Ban; kedua, menganalisis implikasi tujuan pemidanaan dalam penegakan hukum terhadap tindak pidana tersebut. Secara teoretis, penelitian ini berkontribusi pada kajian hukum pidana dan pluralisme hukum dengan memperlihatkan mekanisme masuknya nilai budaya ke dalam putusan tanpa meniadakan pertanggungjawaban pidana. Secara praktis, hasil penelitian ini dapat menjadi rujukan bagi hakim dalam menyusun pertimbangan pada perkara berlatar budaya agar konsisten dan dapat diuji. Kontribusi tersebut menjadi semakin relevan mengingat perkara berlatar kehormatan tidak berdiri sendiri sebagai peristiwa individual, melainkan menyentuh cara suatu komunitas memahami keadilan, sehingga cara hakim menyusun pertimbangan turut menentukan pesan hukum yang diterima masyarakat pendukung nilai tersebut.</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bahan hukum, teknik pengumpulan bahan hukum,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proses penelitian untuk mengkaji hukum sebagai norma, kaidah, asas, prinsip, doktrin, dan teori hukum guna menjawab permasalahan hukum yang diteliti. Pilihan tersebut ditentukan oleh karakter kedua permasalahan yang dirumuskan, yang sama-sama menuntut pengujian atas kesesuaian antara norma, doktrin, dan fakta hukum dalam suatu putusan, bukan pengukuran variabel maupun pengujian hipotesis (Marzuki,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Dua pendekatan digunakan secara berlapis.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ditempuh dengan menelaah seluruh peraturan yang terkait dengan isu yang dibahas, meliputi ketentuan mengenai kejahatan terhadap nyawa, penyertaan, kewajiban memuat pertimbangan dalam putusan, kewajiban menggali nilai hukum yang hidup, serta tujuan dan pedoman pemidanaan. Pendekatan kasus (</w:t>
      </w:r>
      <w:r>
        <w:rPr>
          <w:rFonts w:ascii="Segoe UI" w:hAnsi="Segoe UI" w:cs="Segoe UI"/>
          <w:sz w:val="22"/>
          <w:szCs w:val="22"/>
          <w:i/>
          <w:iCs/>
        </w:rPr>
        <w:t xml:space="preserve">case approach</w:t>
      </w:r>
      <w:r>
        <w:rPr>
          <w:rFonts w:ascii="Segoe UI" w:hAnsi="Segoe UI" w:cs="Segoe UI"/>
          <w:sz w:val="22"/>
          <w:szCs w:val="22"/>
        </w:rPr>
        <w:t xml:space="preserve">) ditempuh dengan mengkaji ratio decidendi majelis hakim untuk sampai pada putusannya, termasuk pendapat berbeda yang menyertainya.</w:t>
      </w:r>
    </w:p>
    <w:p>
      <w:pPr>
        <w:pStyle w:val="IEEEParagraph"/>
        <w:ind w:left="567" w:right="322" w:firstLine="567"/>
        <w:rPr>
          <w:rFonts w:ascii="Segoe UI" w:hAnsi="Segoe UI" w:cs="Segoe UI"/>
          <w:sz w:val="22"/>
          <w:szCs w:val="22"/>
        </w:rPr>
      </w:pPr>
      <w:r>
        <w:rPr>
          <w:rFonts w:ascii="Segoe UI" w:hAnsi="Segoe UI" w:cs="Segoe UI"/>
          <w:sz w:val="22"/>
          <w:szCs w:val="22"/>
        </w:rPr>
        <w:t xml:space="preserve">Perpaduan kedua pendekatan tersebut diperlukan karena permasalahan penelitian tidak berhenti pada pertanyaan apakah para terdakwa terbukti bersalah, melainkan berlanjut pada pertanyaan melalui pintu mana nilai budaya masuk ke dalam penalaran hakim dan tujuan pemidanaan apa yang tercermin dari pidana yang dijatuhkan. Pertanyaan kedua menuntut pembacaan yang menghubungkan teks putusan dengan kerangka teoretis pemidanaan, sehingga pendekatan normatif tidak dapat berdiri sendiri tanpa penelusuran doktrin.</w:t>
      </w:r>
    </w:p>
    <w:p>
      <w:pPr>
        <w:pStyle w:val="IEEEParagraph"/>
        <w:ind w:left="567" w:right="322"/>
      </w:pPr>
    </w:p>
    <w:p>
      <w:pPr>
        <w:pStyle w:val="Heading2"/>
        <w:ind w:right="322"/>
        <w:rPr>
          <w:rStyle w:val="mediumtext"/>
        </w:rPr>
      </w:pPr>
      <w:r>
        <w:rPr>
          <w:rStyle w:val="mediumtext"/>
        </w:rPr>
        <w:t xml:space="preserve">2.2 Lokasi Penelitian dan Sumber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Pengadilan Negeri Bantaeng sebagai pengadilan yang menjatuhkan putusan yang dikaji. Jenis data yang digunakan adalah data sekunder berupa bahan pustaka yang terdiri atas bahan hukum primer, sekunder, dan tersier yang diperoleh melalui studi dokumen.</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meliputi Undang-Undang Dasar Negara Republik Indonesia Tahun 1945, Kitab Undang-Undang Hukum Pidana, Undang-Undang Nomor 8 Tahun 1981 tentang Hukum Acara Pidana, Undang-Undang Nomor 48 Tahun 2009 tentang Kekuasaan Kehakiman, Undang-Undang Nomor 22 Tahun 2022 tentang Pemasyarakatan, Undang-Undang Nomor 1 Tahun 2023 tentang Kitab Undang-Undang Hukum Pidana, Undang-Undang Nomor 20 Tahun 2025 tentang Kitab Undang-Undang Hukum Acara Pidana, serta Putusan Pengadilan Negeri Bantaeng Nomor 36/Pid.B/2025/PN Ban. Bahan hukum sekunder berupa buku hukum pidana, karya antropologi hukum mengenai siri', artikel jurnal, dan hasil penelitian terdahulu. Bahan hukum tersier berupa kamus hukum dan ensiklopedia yang memberi petunjuk atas kedua bahan sebelumnya.</w:t>
      </w:r>
    </w:p>
    <w:p>
      <w:pPr>
        <w:pStyle w:val="IEEEParagraph"/>
        <w:ind w:left="567" w:right="322"/>
      </w:pPr>
    </w:p>
    <w:p>
      <w:pPr>
        <w:pStyle w:val="Heading2"/>
        <w:ind w:right="322"/>
        <w:rPr>
          <w:rStyle w:val="mediumtext"/>
        </w:rPr>
      </w:pPr>
      <w:r>
        <w:rPr>
          <w:rStyle w:val="mediumtext"/>
        </w:rPr>
        <w:t xml:space="preserve">2.3 Teknik Pengumpulan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bahan hukum ditempuh melalui studi pustaka, yaitu pengkajian informasi tertulis mengenai hukum yang berasal dari berbagai sumber dan dipublikasikan secara luas, meliputi peraturan perundang-undangan, putusan pengadilan, buku hukum, jurnal hukum, dan artikel ilmiah yang relevan dengan tindak pidana pembunuhan yang dilatarbelakangi siri'.</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putusan dijatuhkan, penelusuran diarahkan pada teks undang-undang beserta ketentuan peralihannya, bukan pada tulisan populer, agar setiap pernyataan mengenai rumusan dan keberlakuan norma dapat diverifikasi sumbernya. Bahan yang tidak dapat diverifikasi tidak digunakan sebagai dasar argumentasi. Kepustakaan antropologi hukum mengenai siri' diperlakukan sebagai bahan hukum sekunder yang memberi konteks, bukan sebagai sumber norma.</w:t>
      </w:r>
    </w:p>
    <w:p>
      <w:pPr>
        <w:pStyle w:val="IEEEParagraph"/>
        <w:ind w:left="567" w:right="322"/>
      </w:pPr>
    </w:p>
    <w:p>
      <w:pPr>
        <w:pStyle w:val="Heading2"/>
        <w:ind w:right="322"/>
        <w:rPr>
          <w:rStyle w:val="mediumtext"/>
        </w:rPr>
      </w:pPr>
      <w:r>
        <w:rPr>
          <w:rStyle w:val="mediumtext"/>
        </w:rPr>
        <w:t xml:space="preserve">2.4 Teknik Analisis Bahan Hukum</w:t>
      </w:r>
    </w:p>
    <w:p>
      <w:pPr>
        <w:pStyle w:val="IEEEParagraph"/>
        <w:ind w:left="567" w:right="322" w:firstLine="567"/>
        <w:rPr>
          <w:rFonts w:ascii="Segoe UI" w:hAnsi="Segoe UI" w:cs="Segoe UI"/>
          <w:sz w:val="22"/>
          <w:szCs w:val="22"/>
        </w:rPr>
      </w:pPr>
      <w:r>
        <w:rPr>
          <w:rFonts w:ascii="Segoe UI" w:hAnsi="Segoe UI" w:cs="Segoe UI"/>
          <w:sz w:val="22"/>
          <w:szCs w:val="22"/>
        </w:rPr>
        <w:t xml:space="preserve">Analisis bersifat deskriptif, yaitu memberikan gambaran dan penjelasan mengenai objek penelitian, dan dilanjutkan secara kualitatif dengan menguraikan serta menginterpretasikan bahan hukum dalam kalimat yang disusun secara logis dan sistematis, kemudian ditarik kesimpulan secara deduktif.</w:t>
      </w:r>
    </w:p>
    <w:p>
      <w:pPr>
        <w:pStyle w:val="IEEEParagraph"/>
        <w:ind w:left="567" w:right="322" w:firstLine="567"/>
        <w:rPr>
          <w:rFonts w:ascii="Segoe UI" w:hAnsi="Segoe UI" w:cs="Segoe UI"/>
          <w:sz w:val="22"/>
          <w:szCs w:val="22"/>
        </w:rPr>
      </w:pPr>
      <w:r>
        <w:rPr>
          <w:rFonts w:ascii="Segoe UI" w:hAnsi="Segoe UI" w:cs="Segoe UI"/>
          <w:sz w:val="22"/>
          <w:szCs w:val="22"/>
        </w:rPr>
        <w:t xml:space="preserve">Khusus untuk permasalahan pertama, analisis ditempuh dengan memilah ranah tempat nilai budaya dapat bekerja dalam suatu putusan, yaitu ranah alasan penghapus pidana, ranah kualifikasi delik, dan ranah pengukuran berat ringannya pidana, lalu menelusuri pada ranah mana siri' sesungguhnya berfungsi. Keberadaan pendapat berbeda dimanfaatkan sebagai alat uji, sebab dua penilaian yang berlawanan atas fakta yang sama memperlihatkan sejauh mana suatu unsur terbuka bagi penafsiran.</w:t>
      </w:r>
    </w:p>
    <w:p>
      <w:pPr>
        <w:pStyle w:val="IEEEParagraph"/>
        <w:ind w:left="567" w:right="322" w:firstLine="567"/>
        <w:rPr>
          <w:rFonts w:ascii="Segoe UI" w:hAnsi="Segoe UI" w:cs="Segoe UI"/>
          <w:sz w:val="22"/>
          <w:szCs w:val="22"/>
        </w:rPr>
      </w:pPr>
      <w:r>
        <w:rPr>
          <w:rFonts w:ascii="Segoe UI" w:hAnsi="Segoe UI" w:cs="Segoe UI"/>
          <w:sz w:val="22"/>
          <w:szCs w:val="22"/>
        </w:rPr>
        <w:t xml:space="preserve">Untuk permasalahan kedua, analisis ditempuh dengan menyandingkan anatomi putusan terhadap kerangka teori pemidanaan dan terhadap rumusan tujuan pemidanaan dalam kodifikasi yang baru, guna menilai corak pemidanaan yang tercermin di dalamnya. Validitas analisis dijaga dengan melacak setiap pernyataan mengenai fakta perkara pada dokumen putusan, serta dengan menyandingkan setiap penilaian normatif pada pandangan yang berbeda agar argumentasi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putusan sehingga tidak dimaksudkan menggeneralisasi praktik peradilan perkara pembunuhan berlatar budaya secara nasional; nilai penelitian terletak pada kedalaman analisis terhadap konstruksi penalaran hukum. Penelitian ini juga tidak melakukan penelitian lapangan antropologis atas praktik siri' yang berlaku kini, melainkan memanfaatkan keterangan yang terungkap di persidangan dan kepustakaan yang tersedia. Kesimpulan yang ditarik berlaku pada tataran konstruksi hukum dan bukan merupakan penilaian atas kinerja aparat maupun atas masyarakat pendukung nilai siri'. Penelitian ini juga tidak menilai kebenaran keterangan saksi maupun keabsahan alat bukti dalam perkara, sebab penilaian demikian merupakan wewenang hakim; yang diuji adalah konsistensi penalaran yang dibangun di atas fakta yang telah dinyatakan terbukti dalam putusan.</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pertimbangan hakim beserta kedudukan siri' di dalamnya, sedangkan subbagian 3.2 menganalisis implikasi tujuan pemidanaan yang tercermin dari putusan.</w:t>
      </w:r>
    </w:p>
    <w:p>
      <w:pPr>
        <w:pStyle w:val="IEEEParagraph"/>
        <w:ind w:left="567" w:right="322"/>
      </w:pPr>
    </w:p>
    <w:p>
      <w:pPr>
        <w:pStyle w:val="Heading2"/>
        <w:ind w:right="322"/>
        <w:rPr>
          <w:rStyle w:val="mediumtext"/>
        </w:rPr>
      </w:pPr>
      <w:r>
        <w:rPr>
          <w:rStyle w:val="mediumtext"/>
        </w:rPr>
        <w:t xml:space="preserve">3.1 Pertimbangan Hakim dan Kedudukan Siri' dalam Kualifikasi Delik</w:t>
      </w:r>
    </w:p>
    <w:p>
      <w:pPr>
        <w:pStyle w:val="IEEEParagraph"/>
        <w:ind w:left="567" w:right="322" w:firstLine="567"/>
        <w:rPr>
          <w:rFonts w:ascii="Segoe UI" w:hAnsi="Segoe UI" w:cs="Segoe UI"/>
          <w:sz w:val="22"/>
          <w:szCs w:val="22"/>
        </w:rPr>
      </w:pPr>
      <w:r>
        <w:rPr>
          <w:rFonts w:ascii="Segoe UI" w:hAnsi="Segoe UI" w:cs="Segoe UI"/>
          <w:sz w:val="22"/>
          <w:szCs w:val="22"/>
        </w:rPr>
        <w:t xml:space="preserve">Fakta hukum yang terungkap di persidangan dapat diringkas sebagai berikut. Ketiga terdakwa memperoleh informasi melalui media sosial mengenai keberadaan korban di sebuah desa di Kabupaten Bantaeng. Korban diduga telah menghamili saudara perempuan dua di antara terdakwa yang mengidap sindrom Down hingga melahirkan, dan sesudah itu korban meninggalkan kampung. Pada 1 Januari 2025 para terdakwa mendatangi tempat korban berada. Setelah dialog singkat di mana korban mengakui perbuatannya dan meminta maaf, terjadi rangkaian kekerasan yang berakhir dengan tikaman pada perut korban yang sudah tidak berdaya. Korban meninggal hari itu juga akibat trauma benda tajam menurut visum et repertum.</w:t>
      </w:r>
    </w:p>
    <w:p>
      <w:pPr>
        <w:pStyle w:val="IEEEParagraph"/>
        <w:ind w:left="567" w:right="322" w:firstLine="567"/>
        <w:rPr>
          <w:rFonts w:ascii="Segoe UI" w:hAnsi="Segoe UI" w:cs="Segoe UI"/>
          <w:sz w:val="22"/>
          <w:szCs w:val="22"/>
        </w:rPr>
      </w:pPr>
      <w:r>
        <w:rPr>
          <w:rFonts w:ascii="Segoe UI" w:hAnsi="Segoe UI" w:cs="Segoe UI"/>
          <w:sz w:val="22"/>
          <w:szCs w:val="22"/>
        </w:rPr>
        <w:t xml:space="preserve">Penuntut umum menyusun surat dakwaan berbentuk subsidairitas dengan dakwaan primair pembunuhan berencana secara bersama-sama dan dakwaan subsidair pembunuhan secara bersama-sama, sehingga majelis wajib mempertimbangkan dakwaan primair lebih dahulu. Kewajiban memuat pertimbangan mengenai fakta hasil pemeriksaan serta keadaan yang memberatkan dan meringankan bersifat imperatif dan pengabaiannya dapat berakibat putusan batal demi hukum. Pertimbangan hukum karenanya merupakan jantung putusan, sebab di dalamnya termuat ratio decidendi (Mulyadi, 2010).</w:t>
      </w:r>
    </w:p>
    <w:p>
      <w:pPr>
        <w:pStyle w:val="IEEEParagraph"/>
        <w:ind w:left="567" w:right="322" w:firstLine="567"/>
        <w:rPr>
          <w:rFonts w:ascii="Segoe UI" w:hAnsi="Segoe UI" w:cs="Segoe UI"/>
          <w:sz w:val="22"/>
          <w:szCs w:val="22"/>
        </w:rPr>
      </w:pPr>
      <w:r>
        <w:rPr>
          <w:rFonts w:ascii="Segoe UI" w:hAnsi="Segoe UI" w:cs="Segoe UI"/>
          <w:sz w:val="22"/>
          <w:szCs w:val="22"/>
        </w:rPr>
        <w:t xml:space="preserve">Majelis menyatakan unsur setiap orang terpenuhi karena ketiga terdakwa membenarkan identitasnya, dewasa, serta sehat jasmani dan rohani. Unsur kesengajaan menghilangkan nyawa juga dinyatakan terpenuhi dengan berpijak pada alat yang digunakan, bagian tubuh yang diserang, intensitas serangan yang berulang, dan tikaman terakhir pada korban yang sudah tidak berdaya, yang bersesuaian dengan hasil visum. Penalaran ini sejalan dengan doktrin kesengajaan yang mengenal corak maksud, kesadaran kepastian, dan kesadaran kemungkinan (Moeljatno, 2015).</w:t>
      </w:r>
    </w:p>
    <w:p>
      <w:pPr>
        <w:pStyle w:val="IEEEParagraph"/>
        <w:ind w:left="567" w:right="322" w:firstLine="567"/>
        <w:rPr>
          <w:rFonts w:ascii="Segoe UI" w:hAnsi="Segoe UI" w:cs="Segoe UI"/>
          <w:sz w:val="22"/>
          <w:szCs w:val="22"/>
        </w:rPr>
      </w:pPr>
      <w:r>
        <w:rPr>
          <w:rFonts w:ascii="Segoe UI" w:hAnsi="Segoe UI" w:cs="Segoe UI"/>
          <w:sz w:val="22"/>
          <w:szCs w:val="22"/>
        </w:rPr>
        <w:t xml:space="preserve">Titik krusial terletak pada unsur perencanaan. Majelis memaknainya sebagai adanya tenggang waktu antara timbulnya niat dan pelaksanaannya yang memberi kesempatan bagi pelaku memikirkan perbuatannya dengan tenang, lalu menyimpulkan unsur tersebut tidak terbukti. Seorang hakim anggota menyatakan pendapat berbeda dengan berpendirian sebaliknya. Tabel 1 menyandingkan penalaran keduanya atas fakta yang sama.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Perbandingan Penilaian atas Unsur Perencanaan antara Pendapat Mayoritas dan Pendapat Berbeda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900"/>
        <w:gridCol w:w="3500"/>
        <w:gridCol w:w="3626"/>
      </w:tblGrid>
      <w:tr>
        <w:trPr>
          <w:cantSplit/>
          <w:tblHeader/>
        </w:trPr>
        <w:tc>
          <w:tcPr>
            <w:tcW w:w="1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Indikator</w:t>
            </w:r>
          </w:p>
        </w:tc>
        <w:tc>
          <w:tcPr>
            <w:tcW w:w="3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Penilaian Mayoritas Majelis</w:t>
            </w:r>
          </w:p>
        </w:tc>
        <w:tc>
          <w:tcPr>
            <w:tcW w:w="36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Penilaian dalam Pendapat Berbeda</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Saat timbulnya niat</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Emosi tersulut seketika setelah korban ditanya perihal perbuatannya</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Niat telah ada sejak keluarga meyakini korban sebagai pelaku dan korban melarikan diri dari kampung</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Alat yang dibawa</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Parang merupakan alat berkebun yang lazim dibawa sepulang dari kebun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Dua bilah parang dibawa serta ketika mendatangi tempat korban berada</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Upaya menemukan korban</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dijadikan indikator adanya perencanaan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Para terdakwa aktif mencari hingga memperoleh informasi melalui media sosial</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Pembagian peran</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dinilai sebagai bukti perencanaan</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Terdapat pembagian peran, salah seorang terdakwa berjaga di samping rumah</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Jeda sebelum tikaman terakhir</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Masih terjadi dialog dengan korban sehingga tidak tampak perencanaan matang</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Tikaman terhadap korban yang sudah tak berdaya menunjukkan masih tersedia waktu berpikir tenang</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Kesimpulan</w:t>
            </w:r>
          </w:p>
        </w:tc>
        <w:tc>
          <w:tcPr>
            <w:tcW w:w="3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 perencanaan tidak terpenuhi; kualifikasi pembunuhan biasa</w:t>
            </w:r>
          </w:p>
        </w:tc>
        <w:tc>
          <w:tcPr>
            <w:tcW w:w="36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 perencanaan terpenuhi; kualifikasi pembunuhan berencana</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Bantaeng Nomor 36/Pid.B/2025/PN Ban (2025)</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Tabel 1 memperlihatkan bahwa unsur perencanaan berada pada wilayah penafsiran yang terbuka. Doktrin lazimnya menuntut tiga syarat kumulatif, yaitu pengambilan keputusan dalam keadaan tenang, tersedianya tenggang waktu yang cukup, dan pelaksanaan dalam keadaan tenang (Chazawi, 2010). Mayoritas majelis menekankan syarat ketenangan batin dan menilainya tidak terpenuhi, sedangkan pendapat berbeda menekankan tersedianya tenggang waktu dan rangkaian tindakan persiapan. Karena undang-undang tidak merumuskan pengertian dan syarat unsur ini, penilaiannya sangat bergantung pada kepekaan hakim dalam membaca fakta konkret, sehingga ruang disparitas memang terbuka lebar.</w:t>
      </w:r>
    </w:p>
    <w:p>
      <w:pPr>
        <w:pStyle w:val="IEEEParagraph"/>
        <w:ind w:left="567" w:right="322" w:firstLine="567"/>
        <w:rPr>
          <w:rFonts w:ascii="Segoe UI" w:hAnsi="Segoe UI" w:cs="Segoe UI"/>
          <w:sz w:val="22"/>
          <w:szCs w:val="22"/>
        </w:rPr>
      </w:pPr>
      <w:r>
        <w:rPr>
          <w:rFonts w:ascii="Segoe UI" w:hAnsi="Segoe UI" w:cs="Segoe UI"/>
          <w:sz w:val="22"/>
          <w:szCs w:val="22"/>
        </w:rPr>
        <w:t xml:space="preserve">Keberadaan pendapat berbeda itu berlandaskan Pasal 14 ayat (3) Undang-Undang Nomor 48 Tahun 2009 yang mewajibkan pendapat hakim yang berbeda dimuat dalam putusan apabila musyawarah tidak mencapai mufakat bulat. Secara akademik kehadirannya bernilai positif karena menyingkapkan bahwa fakta yang sama dapat dibaca sebagai ledakan emosi seketika sekaligus sebagai pelaksanaan niat yang telah lama terbentuk, sekaligus menjadi bentuk akuntabilitas kekuasaan kehakiman kepada publik.</w:t>
      </w:r>
    </w:p>
    <w:p>
      <w:pPr>
        <w:pStyle w:val="IEEEParagraph"/>
        <w:ind w:left="567" w:right="322" w:firstLine="567"/>
        <w:rPr>
          <w:rFonts w:ascii="Segoe UI" w:hAnsi="Segoe UI" w:cs="Segoe UI"/>
          <w:sz w:val="22"/>
          <w:szCs w:val="22"/>
        </w:rPr>
      </w:pPr>
      <w:r>
        <w:rPr>
          <w:rFonts w:ascii="Segoe UI" w:hAnsi="Segoe UI" w:cs="Segoe UI"/>
          <w:sz w:val="22"/>
          <w:szCs w:val="22"/>
        </w:rPr>
        <w:t xml:space="preserve">Aspek paling khas perkara ini adalah hadirnya siri' sebagai latar belakang yang terungkap melalui keterangan saksi meringankan dari kalangan tokoh adat: siri' merujuk pada harga diri, kehormatan, dan rasa malu yang sangat dijunjung; perbuatan korban dipandang menghilangkan harga diri keluarga; dan pelaku yang bertindak karena siri' kerap berada dalam goncangan jiwa. Yang penting dicatat, saksi tersebut juga menerangkan bahwa sanksi adat atas pelanggaran siri' tidak lagi diterapkan sejak berakhirnya zaman kerajaan di daerah tersebut. Keterangan itu bermakna yuridis: siri' hadir sebagai nilai yang hidup, tetapi tanpa mekanisme sanksi adat yang berlaku.</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majelis mengambil sikap yang tepat dengan tidak menempatkan siri' sebagai alasan pembenar maupun alasan pemaaf. Menerima motif kehormatan sebagai pembenar sama artinya dengan melegitimasi tindakan main hakim sendiri dan meruntuhkan monopoli negara atas penyelesaian kejahatan. Latar belakang budaya dapat dipakai memahami motif, tetapi tidak untuk menghapus sifat melawan hukum secara otomatis, sebab hal itu membahayakan perlindungan korban.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demikian, siri' tidak hilang dari putusan. Nilai tersebut bekerja pada dua ranah lain. Pertama, pada kualifikasi delik, ketika penilaian mayoritas bahwa perbuatan lahir dari emosi yang tersulut seketika, yang bersesuaian dengan keterangan mengenai goncangan jiwa akibat siri', menjadi salah satu alasan tidak terpenuhinya unsur perencanaan. Kedua, pada pengukuran berat ringannya pidana, ketika latar belakang pembelaan kehormatan keluarga mewarnai penilaian atas kadar kesalahan. Pola demikian sejalan dengan kewajiban hakim menggali nilai hukum yang hidup sebagaimana Pasal 5 ayat (1) Undang-Undang Nomor 48 Tahun 2009 dan dengan gagasan bahwa hukum harus menjadi sarana keadilan substantif, bukan penerapan teks secara mekanis (Rahardjo, 2009).</w:t>
      </w:r>
    </w:p>
    <w:p>
      <w:pPr>
        <w:pStyle w:val="IEEEParagraph"/>
        <w:ind w:left="567" w:right="322" w:firstLine="567"/>
        <w:rPr>
          <w:rFonts w:ascii="Segoe UI" w:hAnsi="Segoe UI" w:cs="Segoe UI"/>
          <w:sz w:val="22"/>
          <w:szCs w:val="22"/>
        </w:rPr>
      </w:pPr>
      <w:r>
        <w:rPr>
          <w:rFonts w:ascii="Segoe UI" w:hAnsi="Segoe UI" w:cs="Segoe UI"/>
          <w:sz w:val="22"/>
          <w:szCs w:val="22"/>
        </w:rPr>
        <w:t xml:space="preserve">Di sinilah terletak catatan kritis penelitian ini. Majelis tidak menyebut siri' secara eksplisit, baik dalam rumusan keadaan yang meringankan maupun dalam bagian pertimbangan hukumnya sendiri. Akibatnya timbul ambiguitas metodologis: tidak dapat dipastikan apakah keringanan pidana bersumber pada penilaian atas siri' sebagai nilai hukum yang hidup, ataukah semata-mata pada keadaan meringankan yang bersifat umum. Idealnya hakim menguraikan secara terang bagaimana nilai yang hidup digali dan ditimbang, sebab pertimbangan yang transparan memperkuat legitimasi putusan sekaligus memberi pedoman bagi konsistensi putusan serupa di kemudian hari.</w:t>
      </w:r>
    </w:p>
    <w:p>
      <w:pPr>
        <w:pStyle w:val="IEEEParagraph"/>
        <w:ind w:left="567" w:right="322"/>
      </w:pPr>
    </w:p>
    <w:p>
      <w:pPr>
        <w:pStyle w:val="Heading2"/>
        <w:ind w:right="322"/>
        <w:rPr>
          <w:rStyle w:val="mediumtext"/>
        </w:rPr>
      </w:pPr>
      <w:r>
        <w:rPr>
          <w:rStyle w:val="mediumtext"/>
        </w:rPr>
        <w:t xml:space="preserve">3.2 Implikasi Tujuan Pemidanaan dalam Putusan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Penegakan hukum pidana tidak berhenti pada pembuktian kesalahan, melainkan bermuara pada penjatuhan pidana yang harus dapat dipertanggungjawabkan. Doktrin mengenal tiga arus teori pemidanaan, yaitu teori absolut yang memandang pidana sebagai pembalasan, teori relatif yang menempatkannya sebagai sarana pencegahan, dan teori gabungan yang mensintesiskan keduanya dalam batas proporsionalitas (Muladi &amp; Arief, 2010). Untuk menilai corak pemidanaan dalam putusan a quo, peran faktual masing-masing terdakwa disandingkan dengan tuntutan dan pidana yang dijatuhkan pada Tabel 2.</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Peran Faktual, Tuntutan Penuntut Umum, dan Pidana yang Dijatuhkan terhadap Para Terdakwa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500"/>
        <w:gridCol w:w="4200"/>
        <w:gridCol w:w="1600"/>
        <w:gridCol w:w="1726"/>
      </w:tblGrid>
      <w:tr>
        <w:trPr>
          <w:cantSplit/>
          <w:tblHeader/>
        </w:trPr>
        <w:tc>
          <w:tcPr>
            <w:tcW w:w="1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Terdakwa</w:t>
            </w:r>
          </w:p>
        </w:tc>
        <w:tc>
          <w:tcPr>
            <w:tcW w:w="4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Peran Faktual dalam Rangkaian Perbuatan</w:t>
            </w:r>
          </w:p>
        </w:tc>
        <w:tc>
          <w:tcPr>
            <w:tcW w:w="16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Tuntutan</w:t>
            </w:r>
          </w:p>
        </w:tc>
        <w:tc>
          <w:tcPr>
            <w:tcW w:w="17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Pidana yang Dijatuhkan</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Terdakwa I</w:t>
            </w:r>
          </w:p>
        </w:tc>
        <w:tc>
          <w:tcPr>
            <w:tcW w:w="4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Menebas korban beberapa kali dan menikam perut korban yang sudah tidak berdaya</w:t>
            </w:r>
          </w:p>
        </w:tc>
        <w:tc>
          <w:tcPr>
            <w:tcW w:w="1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12 tahun penjara</w:t>
            </w:r>
          </w:p>
        </w:tc>
        <w:tc>
          <w:tcPr>
            <w:tcW w:w="17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9 tahun penjara</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Terdakwa II</w:t>
            </w:r>
          </w:p>
        </w:tc>
        <w:tc>
          <w:tcPr>
            <w:tcW w:w="4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Berjaga di samping rumah dan melempari korban dengan batu</w:t>
            </w:r>
          </w:p>
        </w:tc>
        <w:tc>
          <w:tcPr>
            <w:tcW w:w="1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9 tahun penjara</w:t>
            </w:r>
          </w:p>
        </w:tc>
        <w:tc>
          <w:tcPr>
            <w:tcW w:w="17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6 tahun penjara</w:t>
            </w:r>
          </w:p>
        </w:tc>
      </w:tr>
      <w:tr>
        <w:trPr>
          <w:cantSplit/>
        </w:trPr>
        <w:tc>
          <w:tcPr>
            <w:tcW w:w="1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Terdakwa III</w:t>
            </w:r>
          </w:p>
        </w:tc>
        <w:tc>
          <w:tcPr>
            <w:tcW w:w="4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Berupaya menebas korban namun serangannya ditangkis</w:t>
            </w:r>
          </w:p>
        </w:tc>
        <w:tc>
          <w:tcPr>
            <w:tcW w:w="16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9 tahun penjara</w:t>
            </w:r>
          </w:p>
        </w:tc>
        <w:tc>
          <w:tcPr>
            <w:tcW w:w="17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5 tahun penjara</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Bantaeng Nomor 36/Pid.B/2025/PN Ban (2025)</w:t>
      </w:r>
    </w:p>
    <w:p>
      <w:pPr>
        <w:pStyle w:val="IEEEParagraph"/>
        <w:ind w:left="567" w:right="322" w:firstLine="567"/>
        <w:rPr>
          <w:rFonts w:ascii="Segoe UI" w:hAnsi="Segoe UI" w:cs="Segoe UI"/>
          <w:sz w:val="22"/>
          <w:szCs w:val="22"/>
        </w:rPr>
      </w:pPr>
      <w:r>
        <w:rPr>
          <w:rFonts w:ascii="Segoe UI" w:hAnsi="Segoe UI" w:cs="Segoe UI"/>
          <w:sz w:val="22"/>
          <w:szCs w:val="22"/>
        </w:rPr>
        <w:t xml:space="preserve">Tabel 2 memperlihatkan dua hal. Pertama, gradasi pidana mengikuti bobot peran masing-masing terdakwa, sehingga pelaku tebasan dan tikaman mematikan dipidana paling berat. Gradasi itu sekaligus menjawab pembelaan agar seorang terdakwa dibebaskan karena serangannya tidak mengenai korban: majelis menegaskan kematian korban merupakan akumulasi seluruh perbuatan, konsisten dengan ajaran penyertaan bahwa kerja sama yang disadari sudah mencukupi. Kedua, seluruh pidana dijatuhkan di bawah tuntutan, yang memperkuat dugaan bekerjanya pertimbangan meringankan yang bersumber pada latar belakang perbuatan.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putusan ini mencerminkan corak pemidanaan integratif. Unsur pembalasan hadir melalui pidana penjara yang cukup berat atas perampasan nyawa serta penetapan duka keluarga korban sebagai keadaan memberatkan. Unsur pencegahan umum hadir melalui pesan bahwa pemulihan siri' melalui kekerasan tidak memperoleh tempat dalam negara hukum. Unsur rehabilitatif hadir melalui pidana yang lebih ringan daripada tuntutan terhadap pelaku yang belum pernah dihukum dan menyesali perbuatannya, sehingga tersedia ruang pembinaan sejalan dengan filosofi pemasyarakatan dalam Undang-Undang Nomor 22 Tahun 2022.</w:t>
      </w:r>
    </w:p>
    <w:p>
      <w:pPr>
        <w:pStyle w:val="IEEEParagraph"/>
        <w:ind w:left="567" w:right="322" w:firstLine="567"/>
        <w:rPr>
          <w:rFonts w:ascii="Segoe UI" w:hAnsi="Segoe UI" w:cs="Segoe UI"/>
          <w:sz w:val="22"/>
          <w:szCs w:val="22"/>
        </w:rPr>
      </w:pPr>
      <w:r>
        <w:rPr>
          <w:rFonts w:ascii="Segoe UI" w:hAnsi="Segoe UI" w:cs="Segoe UI"/>
          <w:sz w:val="22"/>
          <w:szCs w:val="22"/>
        </w:rPr>
        <w:t xml:space="preserve">Corak integratif itu kini memperoleh landasan normatif yang tegas. Pasal 51 Undang-Undang Nomor 1 Tahun 2023 merumuskan empat tujuan pemidanaan, yaitu mencegah tindak pidana, memasyarakatkan terpidana, menyelesaikan konflik dan memulihkan keseimbangan, serta menumbuhkan penyesalan pada diri terpidana, sedangkan Pasal 52 menegaskan pemidanaan tidak dimaksudkan merendahkan martabat manusia. Meskipun perkara a quo diadili dengan kodifikasi lama, rumusan tersebut tetap relevan sebagai cermin nilai: tujuan pencegahan tampak dari beratnya pidana, tujuan pemasyarakatan dari terbukanya ruang pembinaan, tujuan pemulihan keseimbangan dari diambilalihnya penyelesaian konflik antarkeluarga oleh negara, dan penyesalan bahkan telah mulai tercapai sebelum putusan dijatuhkan.</w:t>
      </w:r>
    </w:p>
    <w:p>
      <w:pPr>
        <w:pStyle w:val="IEEEParagraph"/>
        <w:ind w:left="567" w:right="322" w:firstLine="567"/>
        <w:rPr>
          <w:rFonts w:ascii="Segoe UI" w:hAnsi="Segoe UI" w:cs="Segoe UI"/>
          <w:sz w:val="22"/>
          <w:szCs w:val="22"/>
        </w:rPr>
      </w:pPr>
      <w:r>
        <w:rPr>
          <w:rFonts w:ascii="Segoe UI" w:hAnsi="Segoe UI" w:cs="Segoe UI"/>
          <w:sz w:val="22"/>
          <w:szCs w:val="22"/>
        </w:rPr>
        <w:t xml:space="preserve">Yang lebih penting bagi masa depan, kodifikasi baru justru menutup celah metodologis yang dicatat pada subbagian sebelumnya. Pasal 54 ayat (1) Undang-Undang Nomor 1 Tahun 2023 mewajibkan hakim mempertimbangkan antara lain bentuk kesalahan, motif dan tujuan melakukan tindak pidana, sikap batin pelaku, keadaan sosial dan ekonomi pelaku, serta nilai hukum dan keadilan yang hidup dalam masyarakat. Dengan rumusan tersebut, motif kultural tidak lagi boleh masuk ke dalam putusan secara implisit; ia harus diuraikan sebagai bagian dari pedoman pemidanaan yang terbuka untuk diuji. Secara yuridis, apa yang dalam putusan a quo hanya terbaca dari susunan pertimbangan kini menjadi kewajiban yang bersumber pada undang-undang.</w:t>
      </w:r>
    </w:p>
    <w:p>
      <w:pPr>
        <w:pStyle w:val="IEEEParagraph"/>
        <w:ind w:left="567" w:right="322" w:firstLine="567"/>
        <w:rPr>
          <w:rFonts w:ascii="Segoe UI" w:hAnsi="Segoe UI" w:cs="Segoe UI"/>
          <w:sz w:val="22"/>
          <w:szCs w:val="22"/>
        </w:rPr>
      </w:pPr>
      <w:r>
        <w:rPr>
          <w:rFonts w:ascii="Segoe UI" w:hAnsi="Segoe UI" w:cs="Segoe UI"/>
          <w:sz w:val="22"/>
          <w:szCs w:val="22"/>
        </w:rPr>
        <w:t xml:space="preserve">Perubahan rumusan delik turut memperjelas fokus perdebatan. Ketentuan pembunuhan dalam kodifikasi baru dirumuskan pada Pasal 458 dengan ancaman pidana penjara paling lama lima belas tahun, sedangkan pembunuhan berencana pada Pasal 459 dengan ancaman pidana mati, pidana penjara seumur hidup, atau pidana penjara paling lama dua puluh tahun. Pada ketentuan yang terakhir, frasa dengan sengaja dihilangkan karena kesengajaan dipandang telah tercakup dalam perencanaan itu sendiri. Akibatnya, seluruh beban pembedaan antara kedua kualifikasi kini bertumpu pada unsur perencanaan. Temuan pada Tabel 1 karenanya menjadi semakin relevan: jika unsur yang menanggung seluruh beban pembedaan itu tetap tidak dirumuskan syaratnya oleh undang-undang, risiko disparitas justru bertambah besar.</w:t>
      </w:r>
    </w:p>
    <w:p>
      <w:pPr>
        <w:pStyle w:val="IEEEParagraph"/>
        <w:ind w:left="567" w:right="322" w:firstLine="567"/>
        <w:rPr>
          <w:rFonts w:ascii="Segoe UI" w:hAnsi="Segoe UI" w:cs="Segoe UI"/>
          <w:sz w:val="22"/>
          <w:szCs w:val="22"/>
        </w:rPr>
      </w:pPr>
      <w:r>
        <w:rPr>
          <w:rFonts w:ascii="Segoe UI" w:hAnsi="Segoe UI" w:cs="Segoe UI"/>
          <w:sz w:val="22"/>
          <w:szCs w:val="22"/>
        </w:rPr>
        <w:t xml:space="preserve">Terakhir, perlu dikemukakan catatan yang berimbang. Penghukuman ketiga terdakwa menegaskan bahwa pemulihan kehormatan tidak boleh ditempuh dengan menghilangkan nyawa, tetapi pemidanaan yang lebih ringan daripada tuntutan berisiko dibaca sebagian masyarakat sebagai toleransi terhadap kekerasan berbasis kehormatan. Karena penegakan hukum tidak semata ditentukan oleh normanya melainkan juga oleh aparat, sarana, masyarakat, dan kebudayaan (Soekanto, 2014), penegakan hukum terhadap pembunuhan berlatar siri' seyogianya diiringi upaya nonpenal berupa penguatan pemahaman bahwa esensi siri' sebagai penjaga martabat dapat ditegakkan melalui jalur hukum negara.</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Pertimbangan hakim dalam Putusan Pengadilan Negeri Bantaeng Nomor 36/Pid.B/2025/PN Ban memperlihatkan kekukuhan majelis menolak siri' sebagai alasan penghapus pidana. Motif pemulihan kehormatan tidak diterima sebagai dasar yang meniadakan sifat melawan hukum perbuatan ataupun kesalahan para terdakwa, dan sikap tersebut harus dipertahankan karena menerima motif kehormatan sebagai pembenar sama artinya dengan melegitimasi tindakan main hakim sendiri serta meruntuhkan monopoli negara atas penyelesaian kejahatan. Meskipun demikian, penelitian ini menemukan bahwa siri' tetap bekerja pada dua ranah lain, yaitu pada kualifikasi delik ketika penilaian mengenai emosi yang tersulut seketika menjadi salah satu alasan tidak terpenuhinya unsur perencanaan, dan pada pengukuran berat ringannya pidana. Keberadaan pendapat berbeda yang membaca fakta yang sama sebagai terpenuhinya unsur perencanaan menegaskan bahwa unsur tersebut berada pada wilayah penafsiran yang terbuka, sehingga menuntut kehati-hatian dan konsistensi argumentasi agar tidak menjadi sumber disparitas.</w:t>
      </w:r>
    </w:p>
    <w:p>
      <w:pPr>
        <w:pStyle w:val="IEEEParagraph"/>
        <w:ind w:left="567" w:right="322" w:firstLine="567"/>
        <w:rPr>
          <w:rFonts w:ascii="Segoe UI" w:hAnsi="Segoe UI" w:cs="Segoe UI"/>
          <w:sz w:val="22"/>
          <w:szCs w:val="22"/>
        </w:rPr>
      </w:pPr>
      <w:r>
        <w:rPr>
          <w:rFonts w:ascii="Segoe UI" w:hAnsi="Segoe UI" w:cs="Segoe UI"/>
          <w:sz w:val="22"/>
          <w:szCs w:val="22"/>
        </w:rPr>
        <w:t xml:space="preserve">Implikasi tujuan pemidanaan dalam putusan ini bercorak gabungan atau integratif. Unsur pembalasan hadir melalui penjatuhan pidana penjara yang cukup berat atas perampasan nyawa, unsur pencegahan hadir melalui pesan tegas bahwa kekerasan atas nama siri' tidak dibenarkan hukum, dan unsur rehabilitatif hadir melalui peringanan pidana yang membuka ruang pemasyarakatan bagi para terdakwa yang menyesali perbuatannya. Gradasi pidana di antara ketiga terdakwa juga mencerminkan individualisasi pemidanaan yang proporsional dengan bobot peran masing-masing. Catatan yang tersisa adalah bahwa majelis tidak menyebut siri' secara eksplisit dalam pertimbangannya, sehingga tidak dapat dipastikan apakah keringanan pidana bersumber pada penilaian atas nilai hukum yang hidup ataukah semata-mata pada keadaan meringankan yang umum. Celah metodologis itu kini ditutup oleh Pasal 54 ayat (1) Undang-Undang Nomor 1 Tahun 2023 yang mewajibkan hakim mempertimbangkan motif, sikap batin pelaku, serta nilai hukum dan keadilan yang hidup dalam masyarakat.</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hakim yang mengadili perkara berlatar budaya menguraikan secara eksplisit bagaimana nilai yang hidup dalam masyarakat digali, ditimbang, dan diletakkan dalam kerangka pemidanaan, sehingga putusan tidak menimbulkan ambiguitas mengenai sumber keringanan pidana dan dapat menjadi pedoman bagi perkara serupa. Terhadap unsur perencanaan, diperlukan penyeragaman pemahaman melalui pedoman teknis atau yurisprudensi tetap, mengingat pada kodifikasi yang baru seluruh beban pembedaan antara pembunuhan dan pembunuhan berencana bertumpu pada unsur tersebut. Bagi penuntut umum, uraian mengenai indikator perencanaan sebaiknya disusun secara sistematis sejak surat dakwaan agar perdebatan di persidangan berlangsung pada dasar yang jelas. Adapun bagi pemangku kebijakan dan tokoh masyarakat, penegakan hukum terhadap pembunuhan berlatar siri' perlu diiringi upaya nonpenal berupa penguatan pemahaman bahwa esensi siri' sebagai penjaga martabat justru dapat ditegakkan melalui jalur hukum negara. Bagi pengembangan ilmu, penelitian lanjutan disarankan memetakan putusan-putusan pembunuhan berlatar siri' di wilayah hukum Sulawesi Selatan guna menguji konsistensi penilaian atas unsur perencanaan dan pola akomodasi nilai budaya.</w:t>
      </w:r>
    </w:p>
    <w:p>
      <w:pPr>
        <w:pStyle w:val="IEEEParagraph"/>
        <w:ind w:left="567" w:right="322" w:firstLine="567"/>
        <w:rPr>
          <w:rFonts w:ascii="Segoe UI" w:hAnsi="Segoe UI" w:cs="Segoe UI"/>
          <w:sz w:val="22"/>
          <w:szCs w:val="22"/>
        </w:rPr>
      </w:pPr>
      <w:r>
        <w:rPr>
          <w:rFonts w:ascii="Segoe UI" w:hAnsi="Segoe UI" w:cs="Segoe UI"/>
          <w:sz w:val="22"/>
          <w:szCs w:val="22"/>
        </w:rPr>
        <w:t xml:space="preserve">Akhirnya perlu ditegaskan bahwa mengakui siri' sebagai nilai yang hidup tidak sama dengan membenarkan kekerasan yang dilakukan atas namanya. Negara hukum justru menunjukkan wibawanya ketika mampu memahami motif kultural secara utuh tanpa mengorbankan perlindungan atas nyawa, dan putusan yang pertimbangannya terbuka merupakan sarana paling efektif untuk menyampaikan pembedaan itu kepada masyarakat.</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Abdullah, H. (1985). </w:t>
      </w:r>
      <w:r>
        <w:rPr>
          <w:rFonts w:cs="Segoe UI"/>
          <w:sz w:val="20"/>
          <w:szCs w:val="20"/>
          <w:i/>
          <w:iCs/>
        </w:rPr>
        <w:t xml:space="preserve">Manusia Bugis Makassar: Suatu tinjauan historis terhadap pola tingkah laku dan pandangan hidup manusia Bugis Makassar</w:t>
      </w:r>
      <w:r>
        <w:rPr>
          <w:rFonts w:cs="Segoe UI"/>
          <w:sz w:val="20"/>
          <w:szCs w:val="20"/>
        </w:rPr>
        <w:t xml:space="preserve">. Inti Idayu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(2010). </w:t>
      </w:r>
      <w:r>
        <w:rPr>
          <w:rFonts w:cs="Segoe UI"/>
          <w:sz w:val="20"/>
          <w:szCs w:val="20"/>
          <w:i/>
          <w:iCs/>
        </w:rPr>
        <w:t xml:space="preserve">Kejahatan terhadap tubuh dan nyawa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Lamintang, P. A. F., &amp; Lamintang, T. (2012). </w:t>
      </w:r>
      <w:r>
        <w:rPr>
          <w:rFonts w:cs="Segoe UI"/>
          <w:sz w:val="20"/>
          <w:szCs w:val="20"/>
          <w:i/>
          <w:iCs/>
        </w:rPr>
        <w:t xml:space="preserve">Delik-delik khusus: Kejahatan terhadap nyawa, tubuh, dan kesehatan</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Marpaung, L. (2005). </w:t>
      </w:r>
      <w:r>
        <w:rPr>
          <w:rFonts w:cs="Segoe UI"/>
          <w:sz w:val="20"/>
          <w:szCs w:val="20"/>
          <w:i/>
          <w:iCs/>
        </w:rPr>
        <w:t xml:space="preserve">Tindak pidana terhadap nyawa dan tubuh</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(2016). </w:t>
      </w:r>
      <w:r>
        <w:rPr>
          <w:rFonts w:cs="Segoe UI"/>
          <w:sz w:val="20"/>
          <w:szCs w:val="20"/>
          <w:i/>
          <w:iCs/>
        </w:rPr>
        <w:t xml:space="preserve">Penelitian hukum</w:t>
      </w:r>
      <w:r>
        <w:rPr>
          <w:rFonts w:cs="Segoe UI"/>
          <w:sz w:val="20"/>
          <w:szCs w:val="20"/>
        </w:rPr>
        <w:t xml:space="preserve">. Kencana.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Mattulada. (1995). </w:t>
      </w:r>
      <w:r>
        <w:rPr>
          <w:rFonts w:cs="Segoe UI"/>
          <w:sz w:val="20"/>
          <w:szCs w:val="20"/>
          <w:i/>
          <w:iCs/>
        </w:rPr>
        <w:t xml:space="preserve">Latoa: Satu lukisan analitis terhadap antropologi politik orang Bugis</w:t>
      </w:r>
      <w:r>
        <w:rPr>
          <w:rFonts w:cs="Segoe UI"/>
          <w:sz w:val="20"/>
          <w:szCs w:val="20"/>
        </w:rPr>
        <w:t xml:space="preserve">. Hasanuddin University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Moeljatno. (2015). </w:t>
      </w:r>
      <w:r>
        <w:rPr>
          <w:rFonts w:cs="Segoe UI"/>
          <w:sz w:val="20"/>
          <w:szCs w:val="20"/>
          <w:i/>
          <w:iCs/>
        </w:rPr>
        <w:t xml:space="preserve">Asas-asas hukum pidana</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Muladi, &amp; Arief, B. N. (2010). </w:t>
      </w:r>
      <w:r>
        <w:rPr>
          <w:rFonts w:cs="Segoe UI"/>
          <w:sz w:val="20"/>
          <w:szCs w:val="20"/>
          <w:i/>
          <w:iCs/>
        </w:rPr>
        <w:t xml:space="preserve">Teori-teori dan kebijakan pidana</w:t>
      </w:r>
      <w:r>
        <w:rPr>
          <w:rFonts w:cs="Segoe UI"/>
          <w:sz w:val="20"/>
          <w:szCs w:val="20"/>
        </w:rPr>
        <w:t xml:space="preserve">. Alumni.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Mulyadi, L. (2010). </w:t>
      </w:r>
      <w:r>
        <w:rPr>
          <w:rFonts w:cs="Segoe UI"/>
          <w:sz w:val="20"/>
          <w:szCs w:val="20"/>
          <w:i/>
          <w:iCs/>
        </w:rPr>
        <w:t xml:space="preserve">Seraut wajah putusan hakim dalam hukum acara pidana Indonesia</w:t>
      </w:r>
      <w:r>
        <w:rPr>
          <w:rFonts w:cs="Segoe UI"/>
          <w:sz w:val="20"/>
          <w:szCs w:val="20"/>
        </w:rPr>
        <w:t xml:space="preserve">. Citra Aditya Bakti.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Prodjodikoro, W. (2012). </w:t>
      </w:r>
      <w:r>
        <w:rPr>
          <w:rFonts w:cs="Segoe UI"/>
          <w:sz w:val="20"/>
          <w:szCs w:val="20"/>
          <w:i/>
          <w:iCs/>
        </w:rPr>
        <w:t xml:space="preserve">Tindak-tindak pidana tertentu di Indonesia</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Rahardjo, S. (2009). </w:t>
      </w:r>
      <w:r>
        <w:rPr>
          <w:rFonts w:cs="Segoe UI"/>
          <w:sz w:val="20"/>
          <w:szCs w:val="20"/>
          <w:i/>
          <w:iCs/>
        </w:rPr>
        <w:t xml:space="preserve">Hukum progresif: Sebuah sintesa hukum Indonesia</w:t>
      </w:r>
      <w:r>
        <w:rPr>
          <w:rFonts w:cs="Segoe UI"/>
          <w:sz w:val="20"/>
          <w:szCs w:val="20"/>
        </w:rPr>
        <w:t xml:space="preserve">. Genta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Soekanto, S. (2014). </w:t>
      </w:r>
      <w:r>
        <w:rPr>
          <w:rFonts w:cs="Segoe UI"/>
          <w:sz w:val="20"/>
          <w:szCs w:val="20"/>
          <w:i/>
          <w:iCs/>
        </w:rPr>
        <w:t xml:space="preserve">Faktor-faktor yang mempengaruhi penegakan hukum</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Putusan Pengadilan Negeri Bantaeng Nomor 36/Pid.B/2025/PN Ban (2025).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Dasar Negara Republik Indonesia Tahun 1945.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48 Tahun 2009 tentang Kekuasaan Kehakiman.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22 Tahun 2022 tentang Pemasyarakatan.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Andry Try Arsiman</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