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0"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sidRPr="003A4408">
        <w:rPr>
          <w:rFonts w:cs="Segoe UI"/>
          <w:b/>
          <w:bCs/>
          <w:sz w:val="30"/>
          <w:szCs w:val="30"/>
          <w:lang w:val="id"/>
        </w:rPr>
        <w:t xml:space="preserve">Penyalahgunaan Dana Nasabah Gadai Emas oleh Pegawai Bank: Modus dan Pertanggungjawaban Hukum</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sidRPr="00886EB8">
        <w:rPr>
          <w:rFonts w:cs="Segoe UI"/>
          <w:b/>
          <w:bCs/>
          <w:sz w:val="24"/>
          <w:szCs w:val="24"/>
          <w:lang w:val="fi-FI"/>
        </w:rPr>
        <w:t xml:space="preserve">A. Arief Rifan</w:t>
      </w:r>
      <w:r w:rsidRPr="00886EB8">
        <w:rPr>
          <w:rFonts w:cs="Segoe UI"/>
          <w:b/>
          <w:bCs/>
          <w:sz w:val="24"/>
          <w:szCs w:val="24"/>
          <w:lang w:val="fi-FI"/>
          <w:vertAlign w:val="superscript"/>
        </w:rPr>
        <w:t xml:space="preserve">1</w:t>
      </w:r>
      <w:r w:rsidRPr="00886EB8">
        <w:rPr>
          <w:rFonts w:cs="Segoe UI"/>
          <w:b/>
          <w:bCs/>
          <w:sz w:val="24"/>
          <w:szCs w:val="24"/>
          <w:lang w:val="fi-FI"/>
        </w:rPr>
        <w:t xml:space="preserve">*</w:t>
      </w:r>
    </w:p>
    <w:p w14:paraId="408EDE2B" w14:textId="640F5D4D" w:rsidR="00AC334E" w:rsidRDefault="001E0508" w:rsidP="00241D17">
      <w:pPr>
        <w:tabs>
          <w:tab w:val="right" w:pos="9026"/>
        </w:tabs>
        <w:spacing w:after="0" w:line="240" w:lineRule="auto"/>
        <w:rPr>
          <w:rFonts w:cs="Segoe UI"/>
          <w:sz w:val="20"/>
          <w:szCs w:val="20"/>
          <w:lang w:val="fi-FI"/>
        </w:rPr>
      </w:pPr>
      <w:r w:rsidRPr="007677D4">
        <w:rPr>
          <w:rFonts w:cs="Segoe UI"/>
          <w:sz w:val="20"/>
          <w:szCs w:val="20"/>
          <w:lang w:val="fi-FI"/>
          <w:vertAlign w:val="superscript"/>
        </w:rPr>
        <w:t xml:space="preserve">1</w:t>
      </w:r>
      <w:r w:rsidRPr="007677D4">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sidR="001E0508" w:rsidRPr="007677D4">
        <w:rPr>
          <w:rFonts w:cs="Segoe UI"/>
          <w:i/>
          <w:sz w:val="18"/>
          <w:szCs w:val="18"/>
          <w:lang w:val="fi-FI"/>
        </w:rPr>
        <w:t xml:space="preserve">arief@ukipaulus.ac.id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 xml:space="preserve">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sidRPr="001E0508">
              <w:rPr>
                <w:rFonts w:eastAsia="Times New Roman" w:cs="Segoe UI"/>
                <w:i/>
                <w:iCs/>
                <w:color w:val="181717"/>
                <w:sz w:val="20"/>
                <w:szCs w:val="20"/>
                <w:lang w:val="en-US"/>
              </w:rPr>
              <w:t xml:space="preserve">gold pawn financing, misuse of customer funds, banking crime, vicarious liability, consumer protection</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 xml:space="preserve">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sidRPr="006F20C0">
              <w:rPr>
                <w:rFonts w:eastAsia="Times New Roman" w:cs="Segoe UI"/>
                <w:iCs/>
                <w:color w:val="181717"/>
                <w:sz w:val="20"/>
                <w:szCs w:val="20"/>
                <w:lang w:val="fi-FI"/>
              </w:rPr>
              <w:t xml:space="preserve">gadai emas, penyalahgunaan dana nasabah, tindak pidana perbankan, vicarious liability, perlindungan konsumen, pertanggungjawaban bank</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sidRPr="00C676AF">
              <w:rPr>
                <w:b/>
                <w:bCs/>
                <w:rFonts w:eastAsia="Times New Roman" w:cs="Segoe UI"/>
                <w:i/>
                <w:iCs/>
                <w:sz w:val="20"/>
                <w:szCs w:val="20"/>
              </w:rPr>
              <w:t xml:space="preserve">Abstract: </w:t>
            </w:r>
            <w:r w:rsidRPr="00C676AF">
              <w:rPr>
                <w:rFonts w:cs="Segoe UI"/>
                <w:i/>
                <w:iCs/>
                <w:sz w:val="20"/>
                <w:szCs w:val="20"/>
              </w:rPr>
              <w:t xml:space="preserve">The rapid growth of gold-backed pawn financing in Indonesia has been accompanied by the recurring misappropriation of customer funds by bank employees, exposing weaknesses in internal control and legal accountability. This study aims to identify the modus operandi of such misappropriation based on the investigation conducted by the Fismondev Sub-directorate of the Special Criminal Investigation Directorate of the South Sulawesi Regional Police, and to analyse the basis of bank liability for the resulting customer losses from civil, criminal and banking law perspectives. Employing normative-empirical legal research combined with statutory, conceptual and case approaches, the study uses interviews, documentation and library research, analysed through Radbruch's legal certainty theory and Friedman's legal system theory. The findings show that the misappropriation was carried out through the acceptance of redemption payments outside the teller channel, deliberate omission of bookkeeping entries, non-issuance of settlement memoranda and deposit slips, and release of gold collateral without registration, totalling IDR 1,070,575,000 from 44 transactions involving 23 customers. Such conduct fulfils the elements of Article 63(1)(b) and Article 66(2) of Law No. 21 of 2008 in conjunction with embezzlement in office. Civil liability rests on the bank under Article 29 of POJK 13/2013 and the vicarious liability doctrine, which cannot be displaced by the individual character of the offence.</w:t>
            </w: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sidRPr="00C676AF">
              <w:rPr>
                <w:b/>
                <w:bCs/>
                <w:rFonts w:eastAsia="Times New Roman" w:cs="Segoe UI"/>
                <w:iCs/>
                <w:sz w:val="20"/>
                <w:szCs w:val="20"/>
              </w:rPr>
              <w:t xml:space="preserve">Abstrak: </w:t>
            </w:r>
            <w:r w:rsidRPr="00C676AF">
              <w:rPr>
                <w:rFonts w:eastAsia="Times New Roman" w:cs="Segoe UI"/>
                <w:iCs/>
                <w:sz w:val="20"/>
                <w:szCs w:val="20"/>
              </w:rPr>
              <w:t xml:space="preserve">Pesatnya pertumbuhan pembiayaan gadai emas di Indonesia diiringi berulangnya penyalahgunaan dana nasabah oleh pegawai bank yang memperlihatkan kelemahan pengendalian internal dan pertanggungjawaban hukum. Penelitian ini bertujuan mengidentifikasi modus operandi penyalahgunaan dana nasabah gadai emas berdasarkan hasil penyidikan Subdit Fismondev Direktorat Reserse Kriminal Khusus Polda Sulawesi Selatan serta menganalisis dasar pertanggungjawaban bank atas kerugian nasabah dalam perspektif hukum perdata, hukum pidana, dan hukum perbankan. Penelitian menggunakan tipe normatif-empiris dengan pendekatan perundang-undangan, konseptual, dan kasus, melalui wawancara, dokumentasi, dan studi kepustakaan, yang dianalisis dengan teori kepastian hukum Radbruch dan teori sistem hukum Friedman. Hasil penelitian menunjukkan bahwa penyalahgunaan dilakukan melalui penerimaan dana pelunasan di luar jalur teller, penghilangan pencatatan pembukuan secara sengaja, tidak diterbitkannya memo pelunasan dan slip penyetoran, serta penyerahan emas jaminan tanpa pencatatan register khasanah, dengan total Rp1.070.575.000 dari 44 transaksi milik 23 nasabah. Perbuatan tersebut memenuhi unsur Pasal 63 ayat (1) huruf b dan Pasal 66 ayat (2) Undang-Undang Nomor 21 Tahun 2008 juncto penggelapan dalam jabatan. Pertanggungjawaban perdata melekat pada bank berdasarkan Pasal 29 POJK 13/2013 dan doktrin vicarious liability yang tidak terhapus oleh sifat individual perbuatan pelaku.</w:t>
            </w: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sidRPr="00C676AF">
              <w:rPr>
                <w:rFonts w:cs="Segoe UI"/>
                <w:b/>
                <w:sz w:val="20"/>
                <w:szCs w:val="20"/>
              </w:rPr>
              <w:t xml:space="preserve">Informasi Artikel:  Diterima: (diisi panitia), Disetujui: (diisi panitia), Dipublikasikan: (diisi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rsidRPr="001E0508">
        <w:t>PENDAHULUAN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Industri pergadaian di Indonesia memasuki fase pertumbuhan yang belum pernah terjadi sebelumnya. Otoritas Jasa Keuangan mencatat penyaluran pembiayaan gadai emas oleh industri pergadaian mencapai Rp90,08 triliun pada Agustus 2025 atau tumbuh 33,43 persen secara tahunan, dengan kenaikan harga emas sebagai pendorong utamanya (Warta Ekonomi, 2025). Lonjakan tersebut menempatkan gadai emas bukan lagi sebagai produk pelengkap, melainkan sebagai instrumen likuiditas massal yang menyerap dana dan aset masyarakat dalam jumlah besar. Konsekuensinya, kualitas tata kelola dan pengendalian internal atas produk ini berubah menjadi persoalan perlindungan konsumen berskala sistemik, bukan sekadar persoalan operasional internal lembaga keuangan.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Secara yuridis, gadai bersumber pada Pasal 1150 Kitab Undang-Undang Hukum Perdata yang memberi kreditur hak menguasai benda jaminan milik debitur (Putra, 2023). Ketika konstruksi tersebut dijalankan oleh bank umum syariah atau unit usaha syariah dalam bentuk produk gadai emas iB, hubungan hukumnya menjadi berlapis: hubungan perdata antara nasabah dan bank, hubungan kepegawaian antara bank dan pelaksana operasional, serta hubungan hukum publik antara bank dan otoritas pengawas berdasarkan Undang-Undang Nomor 21 Tahun 2008 tentang Perbankan Syariah. Perbedaan mendasar gadai emas dengan produk simpanan terletak pada keberadaan benda jaminan fisik yang harus ditaksir, disimpan di khasanah, dicatat dalam register, dan dikembalikan secara fisik pada saat pelunasan. Setiap simpul dalam rantai itu merupakan titik risiko tersendiri.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Penelitian ini mengambil objek berupa perkara penyalahgunaan dana nasabah gadai emas yang disidik oleh Subdirektorat Fiskal, Moneter, dan Devisa (Fismondev) Direktorat Reserse Kriminal Khusus Kepolisian Daerah Sulawesi Selatan. Dalam perkara tersebut, seorang pegawai PT Bank Pembangunan Daerah Sulawesi Selatan dan Sulawesi Barat yang menangani produk gadai emas iB menerima dan menguasai dana pelunasan nasabah sebesar Rp1.070.575.000,00 secara berangsur melalui 44 transaksi milik 23 nasabah, tanpa menyetorkannya ke kas bank dan tanpa mencatatkannya dalam sistem perbankan. Perkara ini bernilai strategis karena memperlihatkan seluruh anatomi kegagalan pengendalian pada satu produk sekaligus, mulai dari penerimaan kas, pembukuan, hingga pelepasan benda jaminan.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Masalah hukum yang timbul bersifat ganda dan tidak dapat diselesaikan dengan satu cabang hukum saja. Pada satu sisi terdapat persoalan kualifikasi pidana, yaitu apakah rangkaian perbuatan pegawai tersebut tunduk pada ketentuan pidana khusus dalam undang-undang perbankan syariah, pada ketentuan penggelapan dalam jabatan, atau pada keduanya secara berbarengan. Pada sisi lain terdapat persoalan pertanggungjawaban keperdataan, yaitu sejauh mana bank sebagai korporasi wajib memikul kerugian nasabah atas perbuatan yang secara pidana dikualifikasikan sebagai perbuatan individual pegawainya. Kekaburan pada lapis kedua inilah yang kerap dimanfaatkan sebagai dalil penghindaran tanggung jawab korporasi.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Sejumlah penelitian terdahulu telah menyentuh isu ini dari sudut yang berbeda-beda. Sitio (2025) mengkaji tanggung jawab bank atas penyalahgunaan dana deposito oleh karyawan dan menyimpulkan adanya kewajiban bank untuk bertanggung jawab penuh atas dana yang dipercayakan nasabah. Syah (2026) menelaah penggelapan dana nasabah melalui pemindahbukuan bernominal kecil dan menegaskan kualifikasinya sebagai penggelapan dalam jabatan sekaligus pentingnya penguatan pengendalian internal. Putra (2023) menyoroti kelemahan verifikasi dan ketiadaan perjanjian tertulis pada pengikatan jaminan produk gadai tabungan emas, sedangkan Putri (2024) menganalisis tanggung gugat bank atas perbuatan melawan hukum pegawainya melalui Putusan Mahkamah Agung Nomor 2600 K/Pdt/2022. Dari sisi penegakan hukum, Zulfikar (2015), Zulfan (2024), dan Yasmin (2025) memetakan hambatan penyidikan tindak pidana perbankan, terutama benturan asas kerahasiaan bank, tersebarnya norma pidana perbankan, dan keterbatasan sumber daya penyidik.</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Berbeda dengan penelitian-penelitian tersebut yang umumnya berhenti pada satu dimensi, baik dimensi keperdataan, dimensi pemidanaan, maupun dimensi hambatan penyidikan, kajian yang secara terpadu menghubungkan modus operandi faktual pada produk gadai emas dengan kualifikasi pidana dan konstruksi pertanggungjawaban korporasi masih belum memadai. Objek produknya pun berbeda: deposito, tabungan, dan pemindahbukuan tidak melibatkan pelepasan benda jaminan fisik, sehingga tidak mengenal titik risiko berupa register khasanah dan berita acara serah terima yang justru menjadi simpul kegagalan dalam perkara gadai emas.</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Penelitian ini menempatkan diri pada celah tersebut dengan tiga penegasan. Pertama, analisis dibangun dari bahan penyidikan aktual, bukan semata dari teks putusan, sehingga modus operandi dapat direkonstruksi pada tingkat prosedur operasional. Kedua, analisis dilakukan secara integratif dengan menempatkan norma pidana perbankan syariah, norma penggelapan dalam jabatan, dan norma perlindungan konsumen sektor jasa keuangan dalam satu bingkai penalaran. Ketiga, analisis diletakkan dalam konteks pembaruan hukum mutakhir, yakni berlakunya Undang-Undang Nomor 1 Tahun 2023 tentang Kitab Undang-Undang Hukum Pidana dan Undang-Undang Nomor 20 Tahun 2025 tentang Kitab Undang-Undang Hukum Acara Pidana sejak Januari 2026, serta perluasan kewenangan penyidikan Otoritas Jasa Keuangan berdasarkan Undang-Undang Nomor 4 Tahun 2023 dan Peraturan Otoritas Jasa Keuangan Nomor 16 Tahun 2023.</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Berdasarkan uraian tersebut, penelitian ini bertujuan untuk mengidentifikasi dan menganalisis bentuk modus operandi penyalahgunaan dana nasabah gadai emas oleh pegawai bank berdasarkan hasil penyidikan Subdit Fismondev Ditreskrimsus Polda Sulawesi Selatan, serta menganalisis dasar pertanggungjawaban bank terhadap kerugian nasabah akibat tindakan pegawainya dalam perspektif hukum perdata, hukum pidana, dan hukum perbankan.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Kontribusi teoretis penelitian ini terletak pada penajaman konstruksi hubungan antara pertanggungjawaban pidana individual pegawai dan pertanggungjawaban keperdataan korporasi pada produk berjaminan fisik, suatu wilayah yang selama ini dibahas secara terpisah. Secara praktis, penelitian ini menawarkan dasar argumentatif bagi nasabah dalam menuntut pemulihan kerugian, bagi bank dalam merancang pengendalian internal berbasis pemisahan fungsi, serta bagi otoritas pengawas dalam menyempurnakan pengaturan tata kelola produk gadai emas.</w:t>
      </w:r>
    </w:p>
    <w:p w14:paraId="1382B788" w14:textId="468BF956" w:rsidR="001E0508" w:rsidRPr="001C62FB" w:rsidRDefault="001C62FB" w:rsidP="00955050">
      <w:pPr>
        <w:pStyle w:val="Heading3"/>
        <w:ind w:left="1134" w:right="322" w:hanging="425"/>
      </w:pPr>
      <w:r w:rsidRPr="001C62FB">
        <w:t>METODOLOGI PENELITIAN</w:t>
      </w:r>
      <w:r w:rsidR="001E0508" w:rsidRPr="001C62FB">
        <w:t xml:space="preserve"> </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Bagian ini menguraikan desain penelitian yang digunakan untuk menjawab kedua permasalahan, mulai dari tipe dan pendekatan, lokasi dan unit analisis, jenis dan sumber data, teknik pengumpulan, sampai teknik analisis serta kerangka teoretik yang dipakai sebagai pisau analisis.</w:t>
      </w:r>
    </w:p>
    <w:p w14:paraId="554F5361" w14:textId="5C7D14CE" w:rsidR="001C62FB" w:rsidRPr="00955050" w:rsidRDefault="001C62FB" w:rsidP="00955050">
      <w:pPr>
        <w:pStyle w:val="Heading2"/>
        <w:ind w:right="322"/>
        <w:rPr>
          <w:rStyle w:val="mediumtext"/>
        </w:rPr>
      </w:pPr>
      <w:r w:rsidRPr="00955050">
        <w:rPr>
          <w:rStyle w:val="mediumtext"/>
        </w:rPr>
        <w:t xml:space="preserve">2.1 Tipe dan Pendekatan Penelitian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Penelitian ini merupakan penelitian hukum normatif-empiris (applied law research), yaitu penelitian yang mengkaji pelaksanaan ketentuan hukum positif pada peristiwa hukum in concreto guna memastikan kesesuaian antara norma dan penerapannya. Pemilihan tipe ini bertolak dari karakter permasalahan yang diteliti: penyalahgunaan dana nasabah gadai emas tidak hanya menyangkut apa yang diatur oleh norma, tetapi juga bagaimana norma tersebut bekerja dalam praktik penyidikan dan dalam praktik tata kelola perbankan. Kajian yang semata-mata normatif tidak akan mampu merekonstruksi modus operandi pada tingkat prosedur, sedangkan kajian yang semata-mata empiris tidak akan mampu menilai ketepatan kualifikasi yuridisnya.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Tiga pendekatan digunakan secara berkelindan. Pendekatan perundang-undangan (statute approach) dipakai untuk menelaah ketentuan Kitab Undang-Undang Hukum Perdata, Undang-Undang Nomor 10 Tahun 1998 tentang Perbankan, Undang-Undang Nomor 8 Tahun 1999 tentang Perlindungan Konsumen, Undang-Undang Nomor 21 Tahun 2008 tentang Perbankan Syariah, Undang-Undang Nomor 1 Tahun 2023 tentang Kitab Undang-Undang Hukum Pidana, Undang-Undang Nomor 4 Tahun 2023, serta peraturan pelaksananya. Pendekatan konseptual (conceptual approach) dipakai untuk mendudukkan konsep penyalahgunaan dana nasabah, penggelapan dalam jabatan, vicarious liability, dan pengendalian internal. Pendekatan kasus (case approach) dipakai untuk menelaah perkara yang disidik Subdit Fismondev serta putusan pembanding, yaitu Putusan Nomor 527/Pid.B/2024/PN Bgl, Putusan Mahkamah Agung Nomor 2600 K/Pdt/2022, dan Putusan Mahkamah Agung Nomor 97 PK/Ag/2025.</w:t>
      </w:r>
    </w:p>
    <w:p w14:paraId="554F5361" w14:textId="5C7D14CE" w:rsidR="001C62FB" w:rsidRPr="00955050" w:rsidRDefault="001C62FB" w:rsidP="00955050">
      <w:pPr>
        <w:pStyle w:val="Heading2"/>
        <w:ind w:right="322"/>
        <w:rPr>
          <w:rStyle w:val="mediumtext"/>
        </w:rPr>
      </w:pPr>
      <w:r w:rsidRPr="00955050">
        <w:rPr>
          <w:rStyle w:val="mediumtext"/>
        </w:rPr>
        <w:t xml:space="preserve">2.2 Lokasi, Informan, dan Unit Analisis</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Penelitian dilaksanakan di Direktorat Reserse Kriminal Khusus Kepolisian Daerah Sulawesi Selatan, khususnya pada Subdit Fismondev yang berwenang menyidik tindak pidana perbankan di wilayah hukum Sulawesi Selatan dan sedang menangani perkara penyalahgunaan dana nasabah gadai emas. Informan ditentukan secara purposif berdasarkan keterlibatan langsung dalam penanganan perkara, yaitu penyidik yang menangani berkas perkara terkait. Unit analisis penelitian adalah perbuatan pegawai bank pada produk gadai emas iB beserta akibat hukumnya, bukan individu pelaku sebagai pribadi, sehingga identitas nasabah dan pihak-pihak yang belum berkekuatan hukum tetap diperlakukan secara terbatas sesuai etika penelitian.</w:t>
      </w:r>
    </w:p>
    <w:p w14:paraId="554F5361" w14:textId="5C7D14CE" w:rsidR="001C62FB" w:rsidRPr="00955050" w:rsidRDefault="001C62FB" w:rsidP="00955050">
      <w:pPr>
        <w:pStyle w:val="Heading2"/>
        <w:ind w:right="322"/>
        <w:rPr>
          <w:rStyle w:val="mediumtext"/>
        </w:rPr>
      </w:pPr>
      <w:r w:rsidRPr="00955050">
        <w:rPr>
          <w:rStyle w:val="mediumtext"/>
        </w:rPr>
        <w:t xml:space="preserve">2.3 Jenis, Sumber Data, dan Teknik Pengumpulan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Data yang digunakan bersifat kualitatif dengan dukungan data kuantitatif sederhana. Data kualitatif meliputi deskripsi prosedur penyidikan, uraian modus operandi, serta pandangan informan mengenai hambatan penyidikan; data kuantitatif bersifat penunjang berupa jumlah transaksi, jumlah nasabah terdampak, dan nilai kerugian. Data primer diperoleh melalui wawancara mendalam semi-terstruktur dan observasi terhadap proses penyidikan, sedangkan data sekunder diperoleh melalui studi kepustakaan atas bahan hukum primer berupa peraturan perundang-undangan dan putusan pengadilan, bahan hukum sekunder berupa buku, jurnal, dan hasil penelitian terdahulu, serta dokumen internal berupa Surat Keputusan Direksi PT Bank Pembangunan Daerah Sulawesi Selatan dan Sulawesi Barat Nomor SK/063/DIR/K/VI/2019 tentang Standar Operasional Prosedur Gadai Emas iB.</w:t>
      </w:r>
    </w:p>
    <w:p w14:paraId="554F5361" w14:textId="5C7D14CE" w:rsidR="001C62FB" w:rsidRPr="00955050" w:rsidRDefault="001C62FB" w:rsidP="00955050">
      <w:pPr>
        <w:pStyle w:val="Heading2"/>
        <w:ind w:right="322"/>
        <w:rPr>
          <w:rStyle w:val="mediumtext"/>
        </w:rPr>
      </w:pPr>
      <w:r w:rsidRPr="00955050">
        <w:rPr>
          <w:rStyle w:val="mediumtext"/>
        </w:rPr>
        <w:t xml:space="preserve">2.4 Teknik Analisis Data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Analisis data dilakukan dengan model analisis interaktif Miles, Huberman, dan Saldaña (2014) yang mencakup pengumpulan data, kondensasi data, penyajian data, serta penarikan kesimpulan dan verifikasi, yang berlangsung secara siklikal sampai data jenuh. Kondensasi dilakukan dengan menyeleksi keterangan yang relevan dengan kedua rumusan masalah, penyajian dilakukan dalam bentuk teks naratif dan matriks perbandingan unsur pasal, sedangkan verifikasi dilakukan melalui triangulasi antara keterangan informan, dokumen penyidikan, dan bahan hukum. Terhadap data yang telah tersaji, dilakukan penafsiran secara deskriptif-kualitatif dengan penalaran deduktif dari norma menuju fakta hukum konkret.</w:t>
      </w:r>
    </w:p>
    <w:p w14:paraId="554F5361" w14:textId="5C7D14CE" w:rsidR="001C62FB" w:rsidRPr="00955050" w:rsidRDefault="001C62FB" w:rsidP="00955050">
      <w:pPr>
        <w:pStyle w:val="Heading2"/>
        <w:ind w:right="322"/>
        <w:rPr>
          <w:rStyle w:val="mediumtext"/>
        </w:rPr>
      </w:pPr>
      <w:r w:rsidRPr="00955050">
        <w:rPr>
          <w:rStyle w:val="mediumtext"/>
        </w:rPr>
        <w:t xml:space="preserve">2.5 Kerangka Analisis Teoretik</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Dua teori digunakan sebagai pisau analisis. Teori kepastian hukum Gustav Radbruch dipakai untuk menilai kejelasan, konsistensi, dan prediktabilitas norma yang mengatur tanggung jawab bank atas perbuatan pegawainya, dengan bertolak dari kedudukan kepastian hukum sebagai salah satu dari tiga nilai dasar hukum di samping keadilan dan kemanfaatan (Radbruch, 1950; Kamalia &amp; Adityo, 2025). Teori sistem hukum Lawrence M. Friedman dipakai untuk membedah persoalan pada tiga komponen, yaitu substansi hukum, struktur hukum, dan budaya hukum, sehingga dapat dijelaskan mengapa penyimpangan tetap berulang meskipun norma telah tersedia (Friedman, 1975; Friedman &amp; Hayden, 2016). Kedua teori dipakai secara operasional dalam pembahasan, bukan sebagai uraian yang berdiri sendiri.</w:t>
      </w:r>
    </w:p>
    <w:p w14:paraId="12B5585A" w14:textId="6E9841B4" w:rsidR="001E0508" w:rsidRPr="001C62FB" w:rsidRDefault="006F0069" w:rsidP="006F0069">
      <w:pPr>
        <w:pStyle w:val="Heading3"/>
        <w:ind w:left="1134" w:hanging="283"/>
      </w:pPr>
      <w:r w:rsidRPr="001C62FB">
        <w:rPr>
          <w:iCs/>
        </w:rPr>
        <w:t>HASIL DA</w:t>
      </w:r>
      <w:r w:rsidRPr="001C62FB">
        <w:t>N PEMBAHASAN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Hasil penelitian disajikan secara terpadu dengan pembahasan. Bagian 3.1 menjawab permasalahan pertama mengenai bentuk-bentuk penyalahgunaan dana nasabah gadai emas beserta kualifikasi yuridisnya, sedangkan bagian 3.2 menjawab permasalahan kedua mengenai dasar pertanggungjawaban hukum bank terhadap kerugian nasabah. Bagian 3.3 menarik implikasi keduanya ke dalam kerangka sistem hukum.</w:t>
      </w:r>
    </w:p>
    <w:p w14:paraId="554F5361" w14:textId="5C7D14CE" w:rsidR="001C62FB" w:rsidRPr="00955050" w:rsidRDefault="001C62FB" w:rsidP="00955050">
      <w:pPr>
        <w:pStyle w:val="Heading2"/>
        <w:ind w:right="322"/>
        <w:rPr>
          <w:rStyle w:val="mediumtext"/>
        </w:rPr>
      </w:pPr>
      <w:r w:rsidRPr="00955050">
        <w:rPr>
          <w:rStyle w:val="mediumtext"/>
        </w:rPr>
        <w:t xml:space="preserve">3.1 Modus Operandi Penyalahgunaan Dana Nasabah Gadai Emas dan Kualifikasi Yuridisnya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Berdasarkan hasil penyidikan Subdit Fismondev Ditreskrimsus Polda Sulawesi Selatan, perbuatan pelaku tidak berbentuk satu tindakan tunggal, melainkan rangkaian penyimpangan prosedural yang saling menopang. Pelaku menerima dana pelunasan gadai langsung dari nasabah di luar jalur teller, tidak menyetorkan dana tersebut ke kas bank maupun ke sistem perbankan, tidak menerbitkan memo pelunasan, slip penyetoran, maupun slip pemindahbukuan, dan menyerahkan kembali emas jaminan kepada nasabah tanpa pencatatan pada Buku Register Khasanah serta tanpa berita acara serah terima. Total dana yang dikuasai mencapai Rp1.070.575.000,00 yang berasal dari 44 transaksi milik 23 nasabah. Ketidaksesuaian tersebut baru tersingkap melalui opname kas, yaitu ketika jumlah fisik kantong gadai tidak sesuai dengan daftar gadai.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Rangkaian tersebut secara langsung bertentangan dengan Standar Operasional Prosedur Gadai Emas iB sebagaimana ditetapkan dalam Surat Keputusan Direksi PT Bank Pembangunan Daerah Sulawesi Selatan dan Sulawesi Barat Nomor SK/063/DIR/K/VI/2019, yang mensyaratkan setiap transaksi gadai dicatat dan benda jaminan disimpan secara aman di khasanah. Temuan tersebut memperlihatkan bahwa pelanggaran tidak terjadi pada satu titik, melainkan pada tiga fungsi yang seharusnya terpisah, yakni fungsi penerimaan kas, fungsi pembukuan, dan fungsi penyerahan benda jaminan. Terkonsentrasinya ketiga fungsi tersebut pada satu orang menghapus mekanisme saling uji (check and balance) yang menjadi inti pengendalian internal.</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Akibat hukum yang paling menentukan dari rangkaian itu adalah tetap tercatatnya rekening pinjaman gadai nasabah sebagai rekening aktif dalam sistem bank meskipun kewajiban nasabah telah dilunasi. Secara yuridis, keadaan ini melahirkan dua kerugian sekaligus. Nasabah dirugikan karena secara administratif tetap berstatus debitur berikut konsekuensi margin, denda, dan risiko eksekusi jaminan, sedangkan bank dirugikan karena pembukuannya tidak menunjukkan keadaan yang sebenarnya. Dari perspektif hukum perbankan, pembukuan yang tidak mencerminkan keadaan sebenarnya bukanlah kesalahan administratif semata, melainkan justru merupakan inti dari perbuatan yang dilarang.</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Jika dikaitkan dengan Pasal 63 ayat (1) huruf b Undang-Undang Nomor 21 Tahun 2008 tentang Perbankan Syariah, perbuatan menghilangkan atau tidak memasukkan atau menyebabkan tidak dilakukannya pencatatan dalam pembukuan, laporan, dokumen, atau laporan kegiatan usaha bank syariah atau unit usaha syariah terpenuhi secara utuh. Unsur subjek terpenuhi karena pelaku berkedudukan sebagai pegawai bank; unsur perbuatan terpenuhi karena pencatatan pelunasan dan pengeluaran benda jaminan memang ditiadakan; sedangkan unsur kesengajaan terbaca dari keberulangan perbuatan dalam 44 transaksi selama rentang waktu tertentu, yang menutup kemungkinan penafsiran sebagai kealpaan atau kekeliruan administratif tunggal. Ancaman pidananya bersifat kumulatif berupa pidana penjara paling singkat 5 tahun dan paling lama 15 tahun serta pidana denda paling sedikit Rp10.000.000.000,00 dan paling banyak Rp200.000.000.000,00.</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Bersamaan dengan itu, penguasaan dana nasabah untuk kepentingan pribadi memenuhi unsur Pasal 66 ayat (2) undang-undang yang sama, yang mengancam anggota direksi dan pegawai bank syariah atau bank umum konvensional yang memiliki unit usaha syariah yang dengan sengaja melakukan penyalahgunaan dana nasabah dengan pidana penjara paling singkat 2 tahun dan paling lama 8 tahun serta pidana denda paling sedikit Rp2.000.000.000,00 dan paling banyak Rp4.000.000.000,00. Ketentuan ini berkarakter delik khusus karena hanya dapat dilakukan oleh subjek tertentu, sekaligus delik formil karena yang dilarang adalah perbuatannya, sehingga pengembalian dana di kemudian hari tidak menghapuskan terpenuhinya unsur delik.</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Secara doktrinal, perbuatan tersebut juga memenuhi konstruksi penggelapan dalam jabatan sebagaimana dahulu dirumuskan dalam Pasal 374 Kitab Undang-Undang Hukum Pidana, yakni penguasaan barang milik orang lain yang berada dalam kekuasaan pelaku bukan karena kejahatan, melainkan karena hubungan kerja. Perlu ditegaskan bahwa sejak Januari 2026 berlaku Undang-Undang Nomor 1 Tahun 2023 tentang Kitab Undang-Undang Hukum Pidana yang menggantikan kodifikasi lama. Namun karena perbuatan terjadi sebelum berlakunya kodifikasi baru, penerapan hukum pidana materiil terhadap perkara ini tetap tunduk pada asas legalitas dan asas hukum transitoir, sehingga ketentuan lama tetap dipergunakan sepanjang tidak terdapat perubahan yang lebih menguntungkan terdakwa. Temuan ini menunjukkan bahwa transisi kodifikasi bukan persoalan teknis penomoran pasal, melainkan persoalan kepastian hukum yang harus dijawab secara eksplisit oleh penyidik dan penuntut umum, terlebih dengan berlakunya pula Undang-Undang Nomor 20 Tahun 2025 tentang Kitab Undang-Undang Hukum Acara Pidana yang mengubah lanskap prosedural penyidikan.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Menurut analisis penulis, terpenuhinya ketiga konstruksi tersebut secara bersamaan menempatkan perkara ini pada situasi perbarengan peraturan. Ketentuan dalam Undang-Undang Nomor 21 Tahun 2008 harus didahulukan sebagai lex specialis karena secara khusus melindungi kepentingan hukum berupa integritas pembukuan bank dan keamanan dana nasabah, sementara ketentuan penggelapan dalam jabatan berfungsi melindungi kepentingan hukum atas harta benda secara umum. Pendekatan yang mendudukkan keduanya secara alternatif-subsidair, sebagaimana lazim dilakukan dalam praktik, dapat dibenarkan sepanjang penuntut umum konsisten menempatkan norma khusus pada dakwaan primair. Rekapitulasi kualifikasi yuridis atas masing-masing bentuk perbuatan disajikan pada Tabel 1.</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sidRPr="006F0069">
        <w:rPr>
          <w:rFonts w:eastAsia="Constantia" w:cs="Segoe UI"/>
          <w:b/>
          <w:bCs/>
          <w:sz w:val="20"/>
          <w:szCs w:val="20"/>
          <w:lang w:val="en-US"/>
        </w:rPr>
        <w:t xml:space="preserve">Tabel 1. Kualifikasi Yuridis Bentuk Penyalahgunaan Dana Nasabah Gadai Emas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00"/>
        <w:gridCol w:w="1750"/>
        <w:gridCol w:w="2100"/>
        <w:gridCol w:w="1900"/>
      </w:tblGrid>
      <w:tr w:rsidR="006F0069" w:rsidRPr="006F0069" w14:paraId="5B2BAC62" w14:textId="77777777" w:rsidTr="006F0069">
        <w:trPr>
          <w:tblHeader/>
          <w:tblCellSpacing w:w="15" w:type="dxa"/>
          <w:jc w:val="center"/>
        </w:trPr>
        <w:tc>
          <w:tcPr>
            <w:tcW w:w="19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Bentuk Perbuatan</w:t>
            </w:r>
          </w:p>
        </w:tc>
        <w:tc>
          <w:tcPr>
            <w:tcW w:w="175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Dasar Hukum</w:t>
            </w:r>
          </w:p>
        </w:tc>
        <w:tc>
          <w:tcPr>
            <w:tcW w:w="21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Unsur yang Terpenuhi</w:t>
            </w:r>
          </w:p>
        </w:tc>
        <w:tc>
          <w:tcPr>
            <w:tcW w:w="19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Akibat Hukum</w:t>
            </w:r>
          </w:p>
        </w:tc>
      </w:tr>
      <w:tr w:rsidR="006F0069" w:rsidRPr="006F0069" w14:paraId="204ACB03" w14:textId="77777777" w:rsidTr="006F0069">
        <w:trPr>
          <w:tblCellSpacing w:w="15" w:type="dxa"/>
          <w:jc w:val="center"/>
        </w:trPr>
        <w:tc>
          <w:tcPr>
            <w:tcW w:w="19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Menerima dana pelunasan tanpa menyetorkan ke teller/kas bank</w:t>
            </w:r>
          </w:p>
        </w:tc>
        <w:tc>
          <w:tcPr>
            <w:tcW w:w="1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Pasal 66 ayat (2) UU No. 21 Tahun 2008</w:t>
            </w:r>
          </w:p>
        </w:tc>
        <w:tc>
          <w:tcPr>
            <w:tcW w:w="2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Pegawai bank; dengan sengaja; menyalahgunakan dana nasabah</w:t>
            </w:r>
          </w:p>
        </w:tc>
        <w:tc>
          <w:tcPr>
            <w:tcW w:w="19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Dana nasabah dikuasai untuk kepentingan pribadi; delik formil terpenuhi</w:t>
            </w:r>
          </w:p>
        </w:tc>
      </w:tr>
      <w:tr w:rsidR="006F0069" w:rsidRPr="006F0069" w14:paraId="204ACB03" w14:textId="77777777" w:rsidTr="006F0069">
        <w:trPr>
          <w:tblCellSpacing w:w="15" w:type="dxa"/>
          <w:jc w:val="center"/>
        </w:trPr>
        <w:tc>
          <w:tcPr>
            <w:tcW w:w="19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Tidak melakukan pencatatan transaksi dalam pembukuan dan sistem</w:t>
            </w:r>
          </w:p>
        </w:tc>
        <w:tc>
          <w:tcPr>
            <w:tcW w:w="1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Pasal 63 ayat (1) huruf b UU No. 21 Tahun 2008</w:t>
            </w:r>
          </w:p>
        </w:tc>
        <w:tc>
          <w:tcPr>
            <w:tcW w:w="2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Pegawai bank; dengan sengaja; menghilangkan/tidak memasukkan pencatatan</w:t>
            </w:r>
          </w:p>
        </w:tc>
        <w:tc>
          <w:tcPr>
            <w:tcW w:w="19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Pembukuan bank tidak menunjukkan keadaan sebenarnya</w:t>
            </w:r>
          </w:p>
        </w:tc>
      </w:tr>
      <w:tr w:rsidR="006F0069" w:rsidRPr="006F0069" w14:paraId="204ACB03" w14:textId="77777777" w:rsidTr="006F0069">
        <w:trPr>
          <w:tblCellSpacing w:w="15" w:type="dxa"/>
          <w:jc w:val="center"/>
        </w:trPr>
        <w:tc>
          <w:tcPr>
            <w:tcW w:w="19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Tidak menerbitkan memo pelunasan, slip penyetoran, dan slip pemindahbukuan</w:t>
            </w:r>
          </w:p>
        </w:tc>
        <w:tc>
          <w:tcPr>
            <w:tcW w:w="1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Pasal 63 ayat (1) huruf b UU No. 21 Tahun 2008 jo. SOP SK/063/DIR/K/VI/2019</w:t>
            </w:r>
          </w:p>
        </w:tc>
        <w:tc>
          <w:tcPr>
            <w:tcW w:w="2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Peniadaan dokumen sumber transaksi</w:t>
            </w:r>
          </w:p>
        </w:tc>
        <w:tc>
          <w:tcPr>
            <w:tcW w:w="19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Hilangnya jejak audit; status pinjaman nasabah tetap aktif</w:t>
            </w:r>
          </w:p>
        </w:tc>
      </w:tr>
      <w:tr w:rsidR="006F0069" w:rsidRPr="006F0069" w14:paraId="204ACB03" w14:textId="77777777" w:rsidTr="006F0069">
        <w:trPr>
          <w:tblCellSpacing w:w="15" w:type="dxa"/>
          <w:jc w:val="center"/>
        </w:trPr>
        <w:tc>
          <w:tcPr>
            <w:tcW w:w="19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Menyerahkan emas jaminan tanpa register khasanah dan berita acara</w:t>
            </w:r>
          </w:p>
        </w:tc>
        <w:tc>
          <w:tcPr>
            <w:tcW w:w="1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SOP Gadai Emas iB SK/063/DIR/K/VI/2019</w:t>
            </w:r>
          </w:p>
        </w:tc>
        <w:tc>
          <w:tcPr>
            <w:tcW w:w="2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Pelanggaran prosedur penyimpanan dan pengeluaran benda jaminan</w:t>
            </w:r>
          </w:p>
        </w:tc>
        <w:tc>
          <w:tcPr>
            <w:tcW w:w="19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Selisih fisik kantong gadai terhadap daftar gadai pada saat opname</w:t>
            </w:r>
          </w:p>
        </w:tc>
      </w:tr>
      <w:tr w:rsidR="006F0069" w:rsidRPr="006F0069" w14:paraId="204ACB03" w14:textId="77777777" w:rsidTr="006F0069">
        <w:trPr>
          <w:tblCellSpacing w:w="15" w:type="dxa"/>
          <w:jc w:val="center"/>
        </w:trPr>
        <w:tc>
          <w:tcPr>
            <w:tcW w:w="19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Penguasaan barang/dana karena hubungan kerja</w:t>
            </w:r>
          </w:p>
        </w:tc>
        <w:tc>
          <w:tcPr>
            <w:tcW w:w="1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Penggelapan dalam jabatan (Pasal 374 KUHP lama)</w:t>
            </w:r>
          </w:p>
        </w:tc>
        <w:tc>
          <w:tcPr>
            <w:tcW w:w="2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Menguasai barang milik orang lain bukan karena kejahatan, melainkan karena hubungan kerja</w:t>
            </w:r>
          </w:p>
        </w:tc>
        <w:tc>
          <w:tcPr>
            <w:tcW w:w="19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Alternatif kualifikasi pidana umum di samping norma khusus perbankan syariah</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Sumber: Diolah dari hasil penyidikan Subdit Fismondev Ditreskrimsus Polda Sulawesi Selatan dan peraturan perundang-undangan terkait (2026)</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
      </w:r>
    </w:p>
    <w:p w14:paraId="554F5361" w14:textId="5C7D14CE" w:rsidR="001C62FB" w:rsidRPr="00955050" w:rsidRDefault="001C62FB" w:rsidP="00955050">
      <w:pPr>
        <w:pStyle w:val="Heading2"/>
        <w:ind w:right="322"/>
        <w:rPr>
          <w:rStyle w:val="mediumtext"/>
        </w:rPr>
      </w:pPr>
      <w:r w:rsidRPr="00955050">
        <w:rPr>
          <w:rStyle w:val="mediumtext"/>
        </w:rPr>
        <w:t xml:space="preserve">3.2 Pertanggungjawaban Hukum Bank terhadap Kerugian Nasabah</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Persoalan kedua bergerak dari ranah pemidanaan menuju ranah pemulihan kerugian. Titik tolaknya adalah Pasal 29 Peraturan Otoritas Jasa Keuangan Nomor 13/POJK.07/2013 tentang Perlindungan Konsumen Sektor Jasa Keuangan yang mewajibkan pelaku usaha jasa keuangan bertanggung jawab atas kerugian konsumen yang timbul akibat kesalahan dan/atau kelalaian pengurus, pegawai, dan/atau pihak ketiga yang bekerja untuk kepentingannya. Norma ini bersifat imperatif dan tidak menggantungkan tanggung jawab bank pada ada atau tidaknya niat jahat pegawai, sehingga kualifikasi pidana atas perbuatan pegawai tidak memutus kewajiban keperdataan bank.</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Secara doktrinal, ketentuan tersebut merupakan perwujudan vicarious liability atau tanggung jawab pengganti yang berakar pada Pasal 1367 ayat (3) Kitab Undang-Undang Hukum Perdata, yakni tanggung jawab majikan atas perbuatan melawan hukum bawahan sepanjang dilakukan dalam lingkup pekerjaannya (Putri, 2024). Unsur lingkup pekerjaan itulah yang menentukan. Dalam perkara ini, pelaku tidak menemui nasabah sebagai pribadi, melainkan sebagai petugas gadai emas iB yang berwenang menerima pelunasan dan menguasai benda jaminan; kepercayaan nasabah terbentuk karena atribut jabatan yang dilekatkan bank kepadanya. Berdasarkan konstruksi hukum tersebut, dalil bahwa perbuatan merupakan tindakan oknum secara pribadi tidak dapat digunakan untuk melepaskan bank dari tanggung jawab.</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Argumentasi tersebut sejalan dengan arah yurisprudensi. Putusan Mahkamah Agung Nomor 97 PK/Ag/2025 menegaskan bahwa lembaga keuangan diposisikan sebagai subjek hukum yang wajib memikul konsekuensi atas setiap tindakan pegawainya yang dilakukan dalam lingkup tugas dan kewenangan, sehingga risiko operasional akibat kelalaian sumber daya manusia dibebankan kepada korporasi dan bukan kepada nasabah sebagai pihak yang dilindungi (Kepaniteraan Mahkamah Agung Republik Indonesia, 2026). Pada tataran pidana, Putusan Nomor 527/Pid.B/2024/PN Bgl menunjukkan pola yang sebanding, yakni pertanggungjawaban pidana dibebankan kepada pegawai secara individual tanpa menjangkau korporasi, sementara bank tetap melakukan penggantian kerugian nasabah. Kedua putusan tersebut, apabila dibaca bersama, memperlihatkan pembagian yang konsisten: pidana mengikuti individu, ganti kerugian mengikuti institusi.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Dalam perkara yang diteliti, pola tersebut memang terjadi. Bank menempuh perlindungan represif dengan menggantikan dana pelunasan nasabah sebesar Rp1.070.575.000,00, sementara pelaku mengembalikan sebagian dana sebesar Rp802.585.568,00 selama periode 2021 sampai 2023, sehingga kerugian yang masih ditanggung bank berjumlah Rp267.989.432,00 sebagaimana disajikan pada Tabel 2. Secara yuridis, pergeseran beban kerugian ini menunjukkan bahwa nasabah telah dipulihkan haknya, tetapi juga menegaskan bahwa kegagalan pengendalian internal pada akhirnya dibayar oleh korporasi, ditambah kerugian yang tidak terukur berupa risiko reputasi dan menurunnya kepercayaan nasabah.</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Perlu ditegaskan bahwa penggantian kerugian tidak menghapuskan dimensi pertanggungjawaban korporasi yang bersifat prospektif. Pasal 66 ayat (1) Undang-Undang Nomor 21 Tahun 2008 mengancam anggota direksi yang dengan sengaja tidak melakukan langkah-langkah yang diperlukan untuk memastikan ketaatan bank terhadap ketentuan peraturan perundang-undangan. Ketentuan ini menempatkan kepatuhan sebagai kewajiban aktif, bukan sekadar kewajiban menanggung akibat. Dengan demikian, meskipun dalam perkara ini perbuatan dinilai sebagai tindakan individual sehingga korporasi tidak dituntut secara pidana, kegagalan menyediakan pemisahan fungsi, dual control, dan audit mendadak tetap merupakan persoalan tata kelola yang berada dalam ranah pengawasan otoritas.</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Dari perspektif perlindungan konsumen, perlindungan preventif dan represif harus dibaca sebagai satu kesatuan. Perlindungan preventif menuntut penerapan SOP secara konsisten, pemisahan tugas antara penaksir, penerima dana, dan pemegang khasanah, verifikasi silang berkala antara catatan administrasi dan fisik benda jaminan, serta pembatasan akses agar tidak seorang pun memegang kewenangan penuh tanpa pengawasan. Perlindungan represif menuntut kecepatan pemulihan kerugian dan kejelasan saluran pengaduan. Kelemahan pada perlindungan preventif dalam perkara ini terbukti tidak dapat ditutup oleh keberhasilan perlindungan represif, karena penyimpangan baru terdeteksi melalui opname kas, bukan melalui mekanisme pengawasan harian.</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sidRPr="006F0069">
        <w:rPr>
          <w:rFonts w:eastAsia="Constantia" w:cs="Segoe UI"/>
          <w:b/>
          <w:bCs/>
          <w:sz w:val="20"/>
          <w:szCs w:val="20"/>
          <w:lang w:val="en-US"/>
        </w:rPr>
        <w:t xml:space="preserve">Tabel 2. Rekapitulasi Kerugian dan Pemulihan Kerugian dalam Perkara yang Diteliti</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100"/>
        <w:gridCol w:w="1750"/>
        <w:gridCol w:w="2800"/>
      </w:tblGrid>
      <w:tr w:rsidR="006F0069" w:rsidRPr="006F0069" w14:paraId="5B2BAC62" w14:textId="77777777" w:rsidTr="006F0069">
        <w:trPr>
          <w:tblHeader/>
          <w:tblCellSpacing w:w="15" w:type="dxa"/>
          <w:jc w:val="center"/>
        </w:trPr>
        <w:tc>
          <w:tcPr>
            <w:tcW w:w="31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Uraian</w:t>
            </w:r>
          </w:p>
        </w:tc>
        <w:tc>
          <w:tcPr>
            <w:tcW w:w="175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Nilai (Rp)</w:t>
            </w:r>
          </w:p>
        </w:tc>
        <w:tc>
          <w:tcPr>
            <w:tcW w:w="2800" w:type="dxa"/>
            <w:tcBorders>
              <w:top w:val="single" w:sz="4" w:space="0" w:color="auto"/>
              <w:bottom w:val="single" w:sz="4" w:space="0" w:color="auto"/>
            </w:tcBorders>
            <w:vAlign w:val="center"/>
            <w:hideMark/>
          </w:tcPr>
          <w:p w14:paraId="43136C39" w14:textId="77777777" w:rsidR="006F0069" w:rsidRPr="006F0069" w:rsidRDefault="006F0069" w:rsidP="00FF6A7A">
            <w:pPr>
              <w:tabs>
                <w:tab w:val="left" w:pos="450"/>
              </w:tabs>
              <w:spacing w:before="100" w:beforeAutospacing="1" w:after="100" w:afterAutospacing="1"/>
              <w:contextualSpacing/>
              <w:jc w:val="center"/>
              <w:rPr>
                <w:rFonts w:eastAsia="Constantia" w:cs="Segoe UI"/>
                <w:b/>
                <w:bCs/>
                <w:sz w:val="18"/>
                <w:szCs w:val="18"/>
                <w:lang w:val="en-US"/>
              </w:rPr>
            </w:pPr>
            <w:r w:rsidRPr="006F0069">
              <w:rPr>
                <w:b/>
                <w:bCs/>
                <w:rFonts w:eastAsia="Constantia" w:cs="Segoe UI"/>
                <w:sz w:val="18"/>
                <w:szCs w:val="18"/>
                <w:lang w:val="en-US"/>
              </w:rPr>
              <w:t xml:space="preserve">Keterangan</w:t>
            </w:r>
          </w:p>
        </w:tc>
      </w:tr>
      <w:tr w:rsidR="006F0069" w:rsidRPr="006F0069" w14:paraId="204ACB03" w14:textId="77777777" w:rsidTr="006F0069">
        <w:trPr>
          <w:tblCellSpacing w:w="15" w:type="dxa"/>
          <w:jc w:val="center"/>
        </w:trPr>
        <w:tc>
          <w:tcPr>
            <w:tcW w:w="3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Dana pelunasan nasabah yang dikuasai pelaku</w:t>
            </w:r>
          </w:p>
        </w:tc>
        <w:tc>
          <w:tcPr>
            <w:tcW w:w="1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1.070.575.000</w:t>
            </w:r>
          </w:p>
        </w:tc>
        <w:tc>
          <w:tcPr>
            <w:tcW w:w="28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44 transaksi milik 23 nasabah</w:t>
            </w:r>
          </w:p>
        </w:tc>
      </w:tr>
      <w:tr w:rsidR="006F0069" w:rsidRPr="006F0069" w14:paraId="204ACB03" w14:textId="77777777" w:rsidTr="006F0069">
        <w:trPr>
          <w:tblCellSpacing w:w="15" w:type="dxa"/>
          <w:jc w:val="center"/>
        </w:trPr>
        <w:tc>
          <w:tcPr>
            <w:tcW w:w="3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Penggantian oleh bank kepada nasabah</w:t>
            </w:r>
          </w:p>
        </w:tc>
        <w:tc>
          <w:tcPr>
            <w:tcW w:w="1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1.070.575.000</w:t>
            </w:r>
          </w:p>
        </w:tc>
        <w:tc>
          <w:tcPr>
            <w:tcW w:w="28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Perlindungan represif berdasarkan Pasal 29 POJK 13/POJK.07/2013</w:t>
            </w:r>
          </w:p>
        </w:tc>
      </w:tr>
      <w:tr w:rsidR="006F0069" w:rsidRPr="006F0069" w14:paraId="204ACB03" w14:textId="77777777" w:rsidTr="006F0069">
        <w:trPr>
          <w:tblCellSpacing w:w="15" w:type="dxa"/>
          <w:jc w:val="center"/>
        </w:trPr>
        <w:tc>
          <w:tcPr>
            <w:tcW w:w="3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Pengembalian sebagian oleh pelaku</w:t>
            </w:r>
          </w:p>
        </w:tc>
        <w:tc>
          <w:tcPr>
            <w:tcW w:w="1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802.585.568</w:t>
            </w:r>
          </w:p>
        </w:tc>
        <w:tc>
          <w:tcPr>
            <w:tcW w:w="28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Dilakukan secara berangsur pada periode 2021-2023</w:t>
            </w:r>
          </w:p>
        </w:tc>
      </w:tr>
      <w:tr w:rsidR="006F0069" w:rsidRPr="006F0069" w14:paraId="204ACB03" w14:textId="77777777" w:rsidTr="006F0069">
        <w:trPr>
          <w:tblCellSpacing w:w="15" w:type="dxa"/>
          <w:jc w:val="center"/>
        </w:trPr>
        <w:tc>
          <w:tcPr>
            <w:tcW w:w="31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Sisa kerugian yang ditanggung bank</w:t>
            </w:r>
          </w:p>
        </w:tc>
        <w:tc>
          <w:tcPr>
            <w:tcW w:w="175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267.989.432</w:t>
            </w:r>
          </w:p>
        </w:tc>
        <w:tc>
          <w:tcPr>
            <w:tcW w:w="2800" w:type="dxa"/>
            <w:vAlign w:val="center"/>
            <w:hideMark/>
          </w:tcPr>
          <w:p w14:paraId="3670CBE4" w14:textId="77777777" w:rsidR="006F0069" w:rsidRPr="006F0069" w:rsidRDefault="006F0069" w:rsidP="00FF6A7A">
            <w:pPr>
              <w:tabs>
                <w:tab w:val="left" w:pos="450"/>
              </w:tabs>
              <w:spacing w:before="100" w:beforeAutospacing="1" w:after="100" w:afterAutospacing="1"/>
              <w:contextualSpacing/>
              <w:jc w:val="left"/>
              <w:rPr>
                <w:rFonts w:eastAsia="Constantia" w:cs="Segoe UI"/>
                <w:sz w:val="18"/>
                <w:szCs w:val="18"/>
                <w:lang w:val="en-US"/>
              </w:rPr>
            </w:pPr>
            <w:r w:rsidRPr="006F0069">
              <w:rPr>
                <w:rFonts w:eastAsia="Constantia" w:cs="Segoe UI"/>
                <w:sz w:val="18"/>
                <w:szCs w:val="18"/>
                <w:lang w:val="en-US"/>
              </w:rPr>
              <w:t xml:space="preserve">Belum termasuk risiko reputasi dan risiko imbal jasa</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Sumber: Diolah dari hasil penyidikan Subdit Fismondev Ditreskrimsus Polda Sulawesi Selatan (2026)</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
      </w:r>
    </w:p>
    <w:p w14:paraId="554F5361" w14:textId="5C7D14CE" w:rsidR="001C62FB" w:rsidRPr="00955050" w:rsidRDefault="001C62FB" w:rsidP="00955050">
      <w:pPr>
        <w:pStyle w:val="Heading2"/>
        <w:ind w:right="322"/>
        <w:rPr>
          <w:rStyle w:val="mediumtext"/>
        </w:rPr>
      </w:pPr>
      <w:r w:rsidRPr="00955050">
        <w:rPr>
          <w:rStyle w:val="mediumtext"/>
        </w:rPr>
        <w:t xml:space="preserve">3.3 Implikasi Teoretik dan Praktik</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Apabila kedua temuan tersebut dibaca melalui teori kepastian hukum Radbruch, tampak bahwa persoalan utama bukan terletak pada ketiadaan norma, melainkan pada tersebarnya norma. Kualifikasi perbuatan dapat ditarik ke undang-undang perbankan syariah, ke ketentuan penggelapan dalam jabatan, dan bahkan ke ketentuan perlindungan konsumen dengan akibat hukum yang berbeda-beda. Bagi nasabah, keadaan ini menimbulkan persoalan prediktabilitas: sulit memperkirakan jalur, jangka waktu, dan bentuk pemulihan yang akan diperoleh. Kepastian hukum dalam pengertian Radbruch menuntut rumusan yang jelas dan tidak multitafsir, dan pada titik inilah pengaturan pidana perbankan Indonesia masih menyisakan pekerjaan rumah (Kamalia &amp; Adityo, 2025).</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Melalui teori sistem hukum Friedman, kegagalan dapat dipetakan pada tiga komponen sekaligus. Pada komponen substansi, norma memang tersedia tetapi terserak dalam berbagai undang-undang sehingga menimbulkan potensi konflik penafsiran, sebagaimana juga ditemukan oleh Zulfan (2024). Pada komponen struktur, penyidikan menghadapi kendala klasik berupa benturan dengan asas kerahasiaan bank, keterbatasan tenaga ahli, dan panjangnya prosedur permintaan data (Zulfikar, 2015; Yasmin, 2025), sementara perluasan kewenangan penyidik Otoritas Jasa Keuangan melalui Undang-Undang Nomor 4 Tahun 2023 dan POJK Nomor 16 Tahun 2023 belum sepenuhnya terintegrasi dengan penyidikan kepolisian. Pada komponen budaya hukum, rendahnya kewaspadaan nasabah untuk menuntut bukti pelunasan yang sah dan lemahnya internalisasi kode etik pegawai menjadi kondisi yang memungkinkan penyimpangan berlangsung berulang tanpa terdeteksi.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Implikasi teoretisnya, pemisahan tegas antara pertanggungjawaban pidana individual dan pertanggungjawaban keperdataan korporasi tidak boleh dipahami sebagai pemisahan tanggung jawab moral kelembagaan. Justru sebaliknya, konsistensi pembebanan ganti kerugian kepada bank berfungsi sebagai insentif ekonomi bagi korporasi untuk memperkuat pengendalian internal, karena setiap kegagalan pengawasan akan berujung pada kerugian finansial yang ditanggung sendiri. Implikasi praktisnya, produk berjaminan fisik seperti gadai emas menuntut pengendalian yang lebih ketat dibanding produk simpanan, sebab titik risikonya tidak berhenti pada aliran dana, tetapi berlanjut pada penguasaan dan pelepasan benda jaminan.</w:t>
      </w:r>
    </w:p>
    <w:p w14:paraId="17E3A12B" w14:textId="5E31EBBF" w:rsidR="001E0508" w:rsidRPr="00EA7E75" w:rsidRDefault="00985560" w:rsidP="00985560">
      <w:pPr>
        <w:pStyle w:val="Heading3"/>
        <w:ind w:left="993" w:hanging="426"/>
      </w:pPr>
      <w:r w:rsidRPr="00EA7E75">
        <w:t>KESIMPULAN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Bentuk-bentuk penyalahgunaan dana nasabah gadai emas oleh pegawai bank berdasarkan hasil penyidikan Subdit Fismondev Direktorat Reserse Kriminal Khusus Polda Sulawesi Selatan berupa rangkaian penyimpangan prosedural yang saling menopang, yaitu penerimaan dana pelunasan nasabah di luar jalur teller tanpa penyetoran ke kas bank, peniadaan pencatatan transaksi dalam pembukuan dan sistem perbankan, tidak diterbitkannya memo pelunasan, slip penyetoran, dan slip pemindahbukuan, serta penyerahan emas jaminan tanpa pencatatan pada Buku Register Khasanah dan tanpa berita acara serah terima, dengan nilai keseluruhan Rp1.070.575.000,00 yang berasal dari 44 transaksi milik 23 nasabah. Rangkaian perbuatan tersebut melanggar Standar Operasional Prosedur Gadai Emas iB berdasarkan Surat Keputusan Direksi Nomor SK/063/DIR/K/VI/2019, mengakibatkan rekening pinjaman nasabah tetap tercatat aktif meskipun telah dilunasi, dan memenuhi unsur Pasal 63 ayat (1) huruf b serta Pasal 66 ayat (2) Undang-Undang Nomor 21 Tahun 2008 tentang Perbankan Syariah juncto ketentuan penggelapan dalam jabatan, dengan norma pidana perbankan syariah berkedudukan sebagai lex specialis.</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Pertanggungjawaban hukum bank terhadap kerugian nasabah bertumpu pada Pasal 29 Peraturan Otoritas Jasa Keuangan Nomor 13/POJK.07/2013 yang mewajibkan pelaku usaha jasa keuangan menanggung kerugian konsumen akibat kesalahan atau kelalaian pegawainya, yang secara doktrinal merupakan perwujudan vicarious liability berdasarkan Pasal 1367 ayat (3) Kitab Undang-Undang Hukum Perdata. Sifat individual perbuatan pelaku dalam ranah pidana tidak menghapus kewajiban keperdataan bank, sebagaimana ditegaskan pula dalam Putusan Mahkamah Agung Nomor 97 PK/Ag/2025. Dalam perkara ini bank telah mengganti dana nasabah sebesar Rp1.070.575.000,00 dan pelaku mengembalikan Rp802.585.568,00, sehingga bank menanggung sisa kerugian Rp267.989.432,00 di luar risiko reputasi dan risiko imbal jasa. Pembagian yang konsisten antara pidana yang mengikuti individu dan ganti kerugian yang mengikuti institusi menempatkan penguatan pengendalian internal sebagai kepentingan bank itu sendiri.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sidRPr="00E02EE7">
        <w:rPr>
          <w:rStyle w:val="longtext"/>
          <w:rFonts w:ascii="Segoe UI" w:hAnsi="Segoe UI" w:cs="Segoe UI"/>
          <w:sz w:val="22"/>
          <w:szCs w:val="22"/>
          <w:shd w:val="clear" w:color="auto" w:fill="FFFFFF"/>
          <w:lang w:val="sv-SE"/>
        </w:rPr>
        <w:t xml:space="preserve">Berdasarkan temuan tersebut, bank perlu menerapkan pemisahan fungsi secara tegas antara petugas penaksir, penerima dana pelunasan, pencatat transaksi, dan pemegang khasanah, disertai penerapan dual control atau four eyes principle pada setiap transaksi yang melibatkan dana dan benda jaminan nasabah, serta audit internal rutin dan mendadak yang mencocokkan fisik kantong gadai dengan daftar gadai secara berkala, tidak hanya pada saat opname kas. Nasabah perlu memastikan setiap pelunasan dilakukan melalui teller dengan bukti pelunasan yang sah dan memeriksa status pinjamannya secara berkala. Otoritas Jasa Keuangan perlu memperkuat pengaturan tata kelola khusus produk gadai emas yang menyentuh prosedur pengeluaran benda jaminan, sekaligus mempertegas mekanisme koordinasi penyidikan dengan kepolisian agar perluasan kewenangan berdasarkan Undang-Undang Nomor 4 Tahun 2023 dan POJK Nomor 16 Tahun 2023 tidak berhenti sebagai norma di atas kertas. Penelitian selanjutnya disarankan menguji konsistensi putusan pengadilan atas perkara sejenis pascaberlakunya kodifikasi pidana dan hukum acara pidana yang baru.</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Friedman, L. M. (1975). The legal system: A social science perspective. Russell Sage Foundation.</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Friedman, L. M., &amp; Hayden, G. M. (2016). American law: An introduction (3rd ed.). Oxford University Press.</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Kamalia, M., &amp; Adityo, R. D. (2025). Telaah tindak pidana pemerkosaan sedarah dalam hukum positif di Indonesia menurut kepastian hukum Gustav Radbruch. Mitsaq: Islamic Family Law Journal, 3(1), 1-13.</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Kepaniteraan Mahkamah Agung Republik Indonesia. (2026). Tanggung jawab lembaga keuangan atas kerugian nasabah. Garda Peradilan, 2(1).</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Miles, M. B., Huberman, A. M., &amp; Saldana, J. (2014). Qualitative data analysis: A methods sourcebook (3rd ed.). SAGE Publications.</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Putra, H. R. (2023). Perlindungan hukum terhadap nasabah dalam pengikatan jaminan produk gadai tabungan emas Pegadaian. Jurnal Notarius, 16(2).</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Putri, M. D. (2024). Analisis tanggung gugat bank atas perbuatan melawan hukum pegawai bank yang merugikan nasabah (Studi kasus Putusan Mahkamah Agung Nomor 2600 K/Pdt/2022). Lex Patrimonium, 3(2). https://scholarhub.ui.ac.id/lexpatri/vol3/iss2/8/</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Radbruch, G. (1950). Rechtsphilosophie (4th ed., E. Wolf, Ed.). K. F. Koehler.</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Sitio, K. J. (2025). Tanggung jawab bank aman sejahtera terhadap kerugian dan penyalahgunaan dana deposito nasabah [Skripsi, Universitas Katolik Indonesia Atma Jaya].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Syah, N. (2026). Penggelapan dana nasabah melalui pemindahbukuan nominal kecil: Kajian normatif atas pelaku, penyertaan, dan pertanggungjawaban perbankan. Jurnal Hukum Lex Generalis, 6(12). https://doi.org/10.56370/jhlg.v6i12.2970</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Warta Ekonomi. (2025, 20 Oktober). Harga emas naik, OJK catat gadai emas tembus Rp90 triliun.</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Yasmin, A. F. (2025). Pengujian batasan asas kerahasiaan bank dalam penyidikan tindak pidana penggelapan menurut perspektif KUHAP [Skripsi, Universitas Pasundan].</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Zulfan. (2024). Penyidikan tindak pidana perbankan oleh penyidik Polda Sulteng dalam rangka pencegahan dan penegakan hukum [Tesis, Universitas Tadulako].</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Zulfikar. (2015). Penyidikan tindak pidana di bidang perbankan (Suatu penelitian di Direktorat Reserse Kriminal Khusus Polda Aceh) [Skripsi, Universitas Syiah Kuala].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Kitab Undang-Undang Hukum Perdata [Burgerlijk Wetboek].</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10 Tahun 1998 tentang Perubahan atas Undang-Undang Nomor 7 Tahun 1992 tentang Perbankan.</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8 Tahun 1999 tentang Perlindungan Konsumen.</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21 Tahun 2008 tentang Perbankan Syariah.</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1 Tahun 2023 tentang Kitab Undang-Undang Hukum Pidana.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4 Tahun 2023 tentang Pengembangan dan Penguatan Sektor Keuangan.</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Undang-Undang Nomor 20 Tahun 2025 tentang Kitab Undang-Undang Hukum Acara Pidana.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Peraturan Otoritas Jasa Keuangan Nomor 13/POJK.07/2013 tentang Perlindungan Konsumen Sektor Jasa Keuangan.</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Peraturan Otoritas Jasa Keuangan Nomor 16 Tahun 2023 tentang Penyidikan Tindak Pidana di Sektor Jasa Keuangan.</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Surat Keputusan Direksi PT Bank Pembangunan Daerah Sulawesi Selatan dan Sulawesi Barat Nomor SK/063/DIR/K/VI/2019 tentang Standar Operasional Prosedur Gadai Emas iB.</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Putusan Pengadilan Negeri Bengkulu Nomor 527/Pid.B/2024/PN Bgl.</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Putusan Mahkamah Agung Republik Indonesia Nomor 2600 K/Pdt/2022.</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sidRPr="003A4408">
        <w:rPr>
          <w:rFonts w:cs="Segoe UI"/>
          <w:noProof/>
        </w:rPr>
        <w:t xml:space="preserve">Putusan Mahkamah Agung Republik Indonesia Nomor 97 PK/Ag/2025.</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A. Arief Rifan</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